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EE" w:rsidRDefault="00DB6FEA" w:rsidP="00674AEE">
      <w:pPr>
        <w:pStyle w:val="ListParagraph"/>
        <w:ind w:left="0"/>
        <w:jc w:val="center"/>
      </w:pPr>
      <w:r w:rsidRPr="00DB6FEA">
        <w:rPr>
          <w:b/>
          <w:sz w:val="24"/>
        </w:rPr>
        <w:t xml:space="preserve">New Course </w:t>
      </w:r>
      <w:proofErr w:type="gramStart"/>
      <w:r w:rsidRPr="00DB6FEA">
        <w:rPr>
          <w:b/>
          <w:sz w:val="24"/>
        </w:rPr>
        <w:t>Check</w:t>
      </w:r>
      <w:r w:rsidR="00674AEE">
        <w:rPr>
          <w:b/>
          <w:sz w:val="24"/>
        </w:rPr>
        <w:t>l</w:t>
      </w:r>
      <w:r w:rsidRPr="00DB6FEA">
        <w:rPr>
          <w:b/>
          <w:sz w:val="24"/>
        </w:rPr>
        <w:t>ist</w:t>
      </w:r>
      <w:proofErr w:type="gramEnd"/>
      <w:r w:rsidR="00674AEE">
        <w:rPr>
          <w:b/>
          <w:sz w:val="24"/>
        </w:rPr>
        <w:br/>
      </w:r>
      <w:r w:rsidR="00674AEE" w:rsidRPr="00674AEE">
        <w:rPr>
          <w:sz w:val="24"/>
        </w:rPr>
        <w:t>(</w:t>
      </w:r>
      <w:r w:rsidR="00674AEE">
        <w:rPr>
          <w:sz w:val="24"/>
        </w:rPr>
        <w:t xml:space="preserve">Syllabus development: </w:t>
      </w:r>
      <w:hyperlink r:id="rId7" w:history="1">
        <w:r w:rsidR="00674AEE" w:rsidRPr="00DF3134">
          <w:rPr>
            <w:rStyle w:val="Hyperlink"/>
          </w:rPr>
          <w:t>http://teaching.utoronto.ca/teaching-support/course-design/developing-a-syllabus/</w:t>
        </w:r>
      </w:hyperlink>
      <w:r w:rsidR="00674AEE">
        <w:t>)</w:t>
      </w:r>
    </w:p>
    <w:tbl>
      <w:tblPr>
        <w:tblStyle w:val="TableGrid"/>
        <w:tblW w:w="0" w:type="auto"/>
        <w:tblLook w:val="04A0" w:firstRow="1" w:lastRow="0" w:firstColumn="1" w:lastColumn="0" w:noHBand="0" w:noVBand="1"/>
      </w:tblPr>
      <w:tblGrid>
        <w:gridCol w:w="5667"/>
        <w:gridCol w:w="948"/>
        <w:gridCol w:w="3440"/>
      </w:tblGrid>
      <w:tr w:rsidR="00674AEE" w:rsidTr="003C122D">
        <w:tc>
          <w:tcPr>
            <w:tcW w:w="5802" w:type="dxa"/>
          </w:tcPr>
          <w:p w:rsidR="00DB6FEA" w:rsidRDefault="00DF76A4" w:rsidP="003C122D">
            <w:pPr>
              <w:rPr>
                <w:b/>
                <w:sz w:val="24"/>
              </w:rPr>
            </w:pPr>
            <w:r>
              <w:rPr>
                <w:b/>
                <w:sz w:val="24"/>
              </w:rPr>
              <w:t xml:space="preserve">Did </w:t>
            </w:r>
            <w:r w:rsidR="003C122D">
              <w:rPr>
                <w:b/>
                <w:sz w:val="24"/>
              </w:rPr>
              <w:t>the</w:t>
            </w:r>
            <w:r>
              <w:rPr>
                <w:b/>
                <w:sz w:val="24"/>
              </w:rPr>
              <w:t xml:space="preserve"> course receive the appropriate approvals</w:t>
            </w:r>
            <w:r w:rsidR="00DB6FEA">
              <w:rPr>
                <w:b/>
                <w:sz w:val="24"/>
              </w:rPr>
              <w:t>?</w:t>
            </w:r>
          </w:p>
        </w:tc>
        <w:tc>
          <w:tcPr>
            <w:tcW w:w="827" w:type="dxa"/>
          </w:tcPr>
          <w:p w:rsidR="00DB6FEA" w:rsidRPr="00DF76A4" w:rsidRDefault="00DB6FEA" w:rsidP="00DB6FEA">
            <w:pPr>
              <w:jc w:val="center"/>
              <w:rPr>
                <w:b/>
                <w:sz w:val="24"/>
                <w:szCs w:val="24"/>
              </w:rPr>
            </w:pPr>
            <w:r w:rsidRPr="00DF76A4">
              <w:rPr>
                <w:b/>
                <w:sz w:val="24"/>
                <w:szCs w:val="24"/>
              </w:rPr>
              <w:t>Yes</w:t>
            </w:r>
            <w:r w:rsidR="00674AEE">
              <w:rPr>
                <w:b/>
                <w:sz w:val="24"/>
                <w:szCs w:val="24"/>
              </w:rPr>
              <w:t>/No</w:t>
            </w:r>
          </w:p>
        </w:tc>
        <w:tc>
          <w:tcPr>
            <w:tcW w:w="3652" w:type="dxa"/>
          </w:tcPr>
          <w:p w:rsidR="00DB6FEA" w:rsidRDefault="00DB6FEA" w:rsidP="00DB6FEA">
            <w:pPr>
              <w:jc w:val="center"/>
              <w:rPr>
                <w:b/>
                <w:sz w:val="24"/>
              </w:rPr>
            </w:pPr>
            <w:r>
              <w:rPr>
                <w:b/>
                <w:sz w:val="24"/>
              </w:rPr>
              <w:t>Comments</w:t>
            </w:r>
          </w:p>
        </w:tc>
      </w:tr>
      <w:tr w:rsidR="00A3377A" w:rsidTr="003C122D">
        <w:tc>
          <w:tcPr>
            <w:tcW w:w="5802" w:type="dxa"/>
          </w:tcPr>
          <w:p w:rsidR="00DF76A4" w:rsidRPr="00C27923" w:rsidRDefault="00DF76A4" w:rsidP="00DF76A4">
            <w:pPr>
              <w:pStyle w:val="ListParagraph"/>
              <w:numPr>
                <w:ilvl w:val="0"/>
                <w:numId w:val="6"/>
              </w:numPr>
              <w:rPr>
                <w:b/>
                <w:sz w:val="24"/>
              </w:rPr>
            </w:pPr>
            <w:r>
              <w:rPr>
                <w:b/>
                <w:sz w:val="24"/>
              </w:rPr>
              <w:t>Consultation and Approval</w:t>
            </w:r>
          </w:p>
          <w:p w:rsidR="00DF76A4" w:rsidRDefault="00DF76A4" w:rsidP="00DF76A4">
            <w:pPr>
              <w:pStyle w:val="ListParagraph"/>
              <w:numPr>
                <w:ilvl w:val="1"/>
                <w:numId w:val="6"/>
              </w:numPr>
              <w:ind w:left="1134"/>
              <w:rPr>
                <w:sz w:val="24"/>
              </w:rPr>
            </w:pPr>
            <w:r>
              <w:rPr>
                <w:sz w:val="24"/>
              </w:rPr>
              <w:t>Divisional Curriculum Committee</w:t>
            </w:r>
          </w:p>
          <w:p w:rsidR="00DF76A4" w:rsidRPr="00DF76A4" w:rsidRDefault="00DF76A4" w:rsidP="00DF76A4">
            <w:pPr>
              <w:pStyle w:val="ListParagraph"/>
              <w:numPr>
                <w:ilvl w:val="1"/>
                <w:numId w:val="6"/>
              </w:numPr>
              <w:ind w:left="1134"/>
              <w:rPr>
                <w:sz w:val="24"/>
              </w:rPr>
            </w:pPr>
            <w:r w:rsidRPr="00DF76A4">
              <w:rPr>
                <w:sz w:val="24"/>
              </w:rPr>
              <w:t>Multi-Divisional approval if teaching faculty and/or intended target audience is outside Division offering course.</w:t>
            </w:r>
          </w:p>
        </w:tc>
        <w:tc>
          <w:tcPr>
            <w:tcW w:w="827" w:type="dxa"/>
          </w:tcPr>
          <w:p w:rsidR="00DF76A4" w:rsidRDefault="00DF76A4" w:rsidP="00DB6FEA">
            <w:pPr>
              <w:jc w:val="center"/>
              <w:rPr>
                <w:b/>
                <w:sz w:val="24"/>
              </w:rPr>
            </w:pPr>
          </w:p>
        </w:tc>
        <w:tc>
          <w:tcPr>
            <w:tcW w:w="3652" w:type="dxa"/>
          </w:tcPr>
          <w:p w:rsidR="00DF76A4" w:rsidRDefault="00DF76A4" w:rsidP="00DB6FEA">
            <w:pPr>
              <w:jc w:val="center"/>
              <w:rPr>
                <w:b/>
                <w:sz w:val="24"/>
              </w:rPr>
            </w:pPr>
          </w:p>
        </w:tc>
      </w:tr>
      <w:tr w:rsidR="00674AEE" w:rsidTr="003C122D">
        <w:tc>
          <w:tcPr>
            <w:tcW w:w="5802" w:type="dxa"/>
          </w:tcPr>
          <w:p w:rsidR="00DF76A4" w:rsidRDefault="00DF76A4" w:rsidP="003C122D">
            <w:pPr>
              <w:rPr>
                <w:b/>
                <w:sz w:val="24"/>
              </w:rPr>
            </w:pPr>
            <w:r>
              <w:rPr>
                <w:b/>
                <w:sz w:val="24"/>
              </w:rPr>
              <w:t xml:space="preserve">Does </w:t>
            </w:r>
            <w:r w:rsidR="003C122D">
              <w:rPr>
                <w:b/>
                <w:sz w:val="24"/>
              </w:rPr>
              <w:t>the</w:t>
            </w:r>
            <w:r>
              <w:rPr>
                <w:b/>
                <w:sz w:val="24"/>
              </w:rPr>
              <w:t xml:space="preserve"> syllabus include the following?</w:t>
            </w:r>
          </w:p>
        </w:tc>
        <w:tc>
          <w:tcPr>
            <w:tcW w:w="827" w:type="dxa"/>
          </w:tcPr>
          <w:p w:rsidR="00DF76A4" w:rsidRPr="00DF76A4" w:rsidRDefault="00674AEE" w:rsidP="00DF76A4">
            <w:pPr>
              <w:jc w:val="center"/>
              <w:rPr>
                <w:b/>
                <w:sz w:val="24"/>
                <w:szCs w:val="24"/>
              </w:rPr>
            </w:pPr>
            <w:r w:rsidRPr="00DF76A4">
              <w:rPr>
                <w:b/>
                <w:sz w:val="24"/>
                <w:szCs w:val="24"/>
              </w:rPr>
              <w:t>Yes</w:t>
            </w:r>
            <w:r>
              <w:rPr>
                <w:b/>
                <w:sz w:val="24"/>
                <w:szCs w:val="24"/>
              </w:rPr>
              <w:t>/No</w:t>
            </w:r>
          </w:p>
        </w:tc>
        <w:tc>
          <w:tcPr>
            <w:tcW w:w="3652" w:type="dxa"/>
          </w:tcPr>
          <w:p w:rsidR="00DF76A4" w:rsidRDefault="00DF76A4" w:rsidP="00DF76A4">
            <w:pPr>
              <w:jc w:val="center"/>
              <w:rPr>
                <w:b/>
                <w:sz w:val="24"/>
              </w:rPr>
            </w:pPr>
            <w:r>
              <w:rPr>
                <w:b/>
                <w:sz w:val="24"/>
              </w:rPr>
              <w:t>Comments</w:t>
            </w:r>
          </w:p>
        </w:tc>
      </w:tr>
      <w:tr w:rsidR="00674AEE" w:rsidTr="003C122D">
        <w:tc>
          <w:tcPr>
            <w:tcW w:w="5802" w:type="dxa"/>
          </w:tcPr>
          <w:p w:rsidR="00DB6FEA" w:rsidRDefault="00DB6FEA" w:rsidP="00DB6FEA">
            <w:pPr>
              <w:pStyle w:val="ListParagraph"/>
              <w:numPr>
                <w:ilvl w:val="0"/>
                <w:numId w:val="1"/>
              </w:numPr>
              <w:rPr>
                <w:sz w:val="24"/>
              </w:rPr>
            </w:pPr>
            <w:r>
              <w:rPr>
                <w:sz w:val="24"/>
              </w:rPr>
              <w:t xml:space="preserve"> A</w:t>
            </w:r>
            <w:r w:rsidRPr="00DB6FEA">
              <w:rPr>
                <w:sz w:val="24"/>
              </w:rPr>
              <w:t>dmin</w:t>
            </w:r>
            <w:r>
              <w:rPr>
                <w:sz w:val="24"/>
              </w:rPr>
              <w:t>istrative</w:t>
            </w:r>
            <w:r w:rsidRPr="00DB6FEA">
              <w:rPr>
                <w:sz w:val="24"/>
              </w:rPr>
              <w:t xml:space="preserve"> details</w:t>
            </w:r>
          </w:p>
          <w:p w:rsidR="00DB6FEA" w:rsidRDefault="00DB6FEA" w:rsidP="00DF76A4">
            <w:pPr>
              <w:pStyle w:val="ListParagraph"/>
              <w:numPr>
                <w:ilvl w:val="1"/>
                <w:numId w:val="1"/>
              </w:numPr>
              <w:ind w:left="1134"/>
              <w:rPr>
                <w:sz w:val="24"/>
              </w:rPr>
            </w:pPr>
            <w:r>
              <w:rPr>
                <w:sz w:val="24"/>
              </w:rPr>
              <w:t>Title and course code</w:t>
            </w:r>
          </w:p>
          <w:p w:rsidR="00DB6FEA" w:rsidRDefault="00DB6FEA" w:rsidP="00DF76A4">
            <w:pPr>
              <w:pStyle w:val="ListParagraph"/>
              <w:numPr>
                <w:ilvl w:val="1"/>
                <w:numId w:val="1"/>
              </w:numPr>
              <w:ind w:left="1134"/>
              <w:rPr>
                <w:sz w:val="24"/>
              </w:rPr>
            </w:pPr>
            <w:r>
              <w:rPr>
                <w:sz w:val="24"/>
              </w:rPr>
              <w:t>Location</w:t>
            </w:r>
            <w:r w:rsidR="00CD516B">
              <w:rPr>
                <w:sz w:val="24"/>
              </w:rPr>
              <w:t>, days, time</w:t>
            </w:r>
          </w:p>
          <w:p w:rsidR="00DB6FEA" w:rsidRDefault="00DB6FEA" w:rsidP="00DF76A4">
            <w:pPr>
              <w:pStyle w:val="ListParagraph"/>
              <w:numPr>
                <w:ilvl w:val="1"/>
                <w:numId w:val="1"/>
              </w:numPr>
              <w:ind w:left="1134"/>
              <w:rPr>
                <w:sz w:val="24"/>
              </w:rPr>
            </w:pPr>
            <w:r>
              <w:rPr>
                <w:sz w:val="24"/>
              </w:rPr>
              <w:t>Instructors contact info</w:t>
            </w:r>
            <w:r w:rsidR="00C27923">
              <w:rPr>
                <w:sz w:val="24"/>
              </w:rPr>
              <w:t>, office hours</w:t>
            </w:r>
          </w:p>
          <w:p w:rsidR="00C27923" w:rsidRDefault="00C27923" w:rsidP="00DF76A4">
            <w:pPr>
              <w:pStyle w:val="ListParagraph"/>
              <w:numPr>
                <w:ilvl w:val="1"/>
                <w:numId w:val="1"/>
              </w:numPr>
              <w:ind w:left="1134"/>
              <w:rPr>
                <w:sz w:val="24"/>
              </w:rPr>
            </w:pPr>
            <w:r>
              <w:rPr>
                <w:sz w:val="24"/>
              </w:rPr>
              <w:t>Pre-requisites</w:t>
            </w:r>
          </w:p>
          <w:p w:rsidR="00DB6FEA" w:rsidRPr="00DB6FEA" w:rsidRDefault="00C27923" w:rsidP="00DF76A4">
            <w:pPr>
              <w:pStyle w:val="ListParagraph"/>
              <w:numPr>
                <w:ilvl w:val="1"/>
                <w:numId w:val="1"/>
              </w:numPr>
              <w:ind w:left="1134"/>
              <w:rPr>
                <w:sz w:val="24"/>
              </w:rPr>
            </w:pPr>
            <w:r>
              <w:rPr>
                <w:sz w:val="24"/>
              </w:rPr>
              <w:t>TA info if appropriate</w:t>
            </w:r>
          </w:p>
        </w:tc>
        <w:tc>
          <w:tcPr>
            <w:tcW w:w="827" w:type="dxa"/>
          </w:tcPr>
          <w:p w:rsidR="00DB6FEA" w:rsidRDefault="00DB6FEA" w:rsidP="00DB6FEA">
            <w:pPr>
              <w:jc w:val="center"/>
              <w:rPr>
                <w:b/>
                <w:sz w:val="24"/>
              </w:rPr>
            </w:pPr>
          </w:p>
        </w:tc>
        <w:tc>
          <w:tcPr>
            <w:tcW w:w="3652" w:type="dxa"/>
          </w:tcPr>
          <w:p w:rsidR="00DB6FEA" w:rsidRDefault="00DB6FEA" w:rsidP="00DB6FEA">
            <w:pPr>
              <w:jc w:val="center"/>
              <w:rPr>
                <w:b/>
                <w:sz w:val="24"/>
              </w:rPr>
            </w:pPr>
          </w:p>
        </w:tc>
      </w:tr>
      <w:tr w:rsidR="00674AEE" w:rsidTr="003C122D">
        <w:tc>
          <w:tcPr>
            <w:tcW w:w="5802" w:type="dxa"/>
          </w:tcPr>
          <w:p w:rsidR="00DB6FEA" w:rsidRDefault="00DB6FEA" w:rsidP="00DB6FEA">
            <w:pPr>
              <w:pStyle w:val="ListParagraph"/>
              <w:numPr>
                <w:ilvl w:val="0"/>
                <w:numId w:val="1"/>
              </w:numPr>
              <w:rPr>
                <w:b/>
                <w:sz w:val="24"/>
              </w:rPr>
            </w:pPr>
            <w:r>
              <w:rPr>
                <w:b/>
                <w:sz w:val="24"/>
              </w:rPr>
              <w:t>Description</w:t>
            </w:r>
          </w:p>
          <w:p w:rsidR="00DB6FEA" w:rsidRDefault="00DB6FEA" w:rsidP="00DF76A4">
            <w:pPr>
              <w:pStyle w:val="ListParagraph"/>
              <w:numPr>
                <w:ilvl w:val="1"/>
                <w:numId w:val="1"/>
              </w:numPr>
              <w:ind w:left="1134"/>
              <w:rPr>
                <w:sz w:val="24"/>
              </w:rPr>
            </w:pPr>
            <w:r w:rsidRPr="00DB6FEA">
              <w:rPr>
                <w:sz w:val="24"/>
              </w:rPr>
              <w:t>General overview</w:t>
            </w:r>
          </w:p>
          <w:p w:rsidR="00C27923" w:rsidRPr="00DB6FEA" w:rsidRDefault="00C27923" w:rsidP="00DF76A4">
            <w:pPr>
              <w:pStyle w:val="ListParagraph"/>
              <w:numPr>
                <w:ilvl w:val="1"/>
                <w:numId w:val="1"/>
              </w:numPr>
              <w:ind w:left="1134"/>
              <w:rPr>
                <w:sz w:val="24"/>
              </w:rPr>
            </w:pPr>
            <w:r>
              <w:rPr>
                <w:sz w:val="24"/>
              </w:rPr>
              <w:t>Target audience</w:t>
            </w:r>
          </w:p>
          <w:p w:rsidR="00DB6FEA" w:rsidRPr="00DB6FEA" w:rsidRDefault="00DB6FEA" w:rsidP="00DF76A4">
            <w:pPr>
              <w:pStyle w:val="ListParagraph"/>
              <w:numPr>
                <w:ilvl w:val="1"/>
                <w:numId w:val="1"/>
              </w:numPr>
              <w:ind w:left="1134"/>
              <w:rPr>
                <w:sz w:val="24"/>
              </w:rPr>
            </w:pPr>
            <w:r w:rsidRPr="00DB6FEA">
              <w:rPr>
                <w:sz w:val="24"/>
              </w:rPr>
              <w:t>Goal</w:t>
            </w:r>
            <w:r w:rsidR="00DF76A4">
              <w:rPr>
                <w:sz w:val="24"/>
              </w:rPr>
              <w:t>s:</w:t>
            </w:r>
            <w:r w:rsidRPr="00DB6FEA">
              <w:rPr>
                <w:sz w:val="24"/>
              </w:rPr>
              <w:t xml:space="preserve"> what </w:t>
            </w:r>
            <w:r w:rsidRPr="0099494E">
              <w:rPr>
                <w:sz w:val="24"/>
                <w:u w:val="single"/>
              </w:rPr>
              <w:t>course</w:t>
            </w:r>
            <w:r w:rsidRPr="00DB6FEA">
              <w:rPr>
                <w:sz w:val="24"/>
              </w:rPr>
              <w:t xml:space="preserve"> aims to provide</w:t>
            </w:r>
          </w:p>
          <w:p w:rsidR="00DB6FEA" w:rsidRPr="00DB6FEA" w:rsidRDefault="00DB6FEA" w:rsidP="00DF76A4">
            <w:pPr>
              <w:pStyle w:val="ListParagraph"/>
              <w:numPr>
                <w:ilvl w:val="1"/>
                <w:numId w:val="1"/>
              </w:numPr>
              <w:ind w:left="1134"/>
              <w:rPr>
                <w:b/>
                <w:sz w:val="24"/>
              </w:rPr>
            </w:pPr>
            <w:r w:rsidRPr="00DB6FEA">
              <w:rPr>
                <w:sz w:val="24"/>
              </w:rPr>
              <w:t>Objectives</w:t>
            </w:r>
            <w:r w:rsidR="00DF76A4">
              <w:rPr>
                <w:sz w:val="24"/>
              </w:rPr>
              <w:t>:</w:t>
            </w:r>
            <w:r w:rsidRPr="00DB6FEA">
              <w:rPr>
                <w:sz w:val="24"/>
              </w:rPr>
              <w:t xml:space="preserve"> what </w:t>
            </w:r>
            <w:r w:rsidRPr="0099494E">
              <w:rPr>
                <w:sz w:val="24"/>
                <w:u w:val="single"/>
              </w:rPr>
              <w:t>students</w:t>
            </w:r>
            <w:r w:rsidRPr="00DF76A4">
              <w:rPr>
                <w:sz w:val="24"/>
              </w:rPr>
              <w:t xml:space="preserve"> </w:t>
            </w:r>
            <w:r w:rsidR="00DF76A4">
              <w:rPr>
                <w:sz w:val="24"/>
              </w:rPr>
              <w:t xml:space="preserve">will </w:t>
            </w:r>
            <w:r w:rsidRPr="00DB6FEA">
              <w:rPr>
                <w:sz w:val="24"/>
              </w:rPr>
              <w:t>learn/be able to do by the end?</w:t>
            </w:r>
          </w:p>
          <w:p w:rsidR="00DB6FEA" w:rsidRPr="0099494E" w:rsidRDefault="00DB6FEA" w:rsidP="00DF76A4">
            <w:pPr>
              <w:pStyle w:val="ListParagraph"/>
              <w:numPr>
                <w:ilvl w:val="1"/>
                <w:numId w:val="1"/>
              </w:numPr>
              <w:ind w:left="1134"/>
              <w:rPr>
                <w:b/>
                <w:sz w:val="24"/>
              </w:rPr>
            </w:pPr>
            <w:r w:rsidRPr="0099494E">
              <w:rPr>
                <w:sz w:val="24"/>
              </w:rPr>
              <w:t>Description of Components/modules/weekly content</w:t>
            </w:r>
          </w:p>
        </w:tc>
        <w:tc>
          <w:tcPr>
            <w:tcW w:w="827" w:type="dxa"/>
          </w:tcPr>
          <w:p w:rsidR="00DB6FEA" w:rsidRDefault="00DB6FEA" w:rsidP="00DB6FEA">
            <w:pPr>
              <w:jc w:val="center"/>
              <w:rPr>
                <w:b/>
                <w:sz w:val="24"/>
              </w:rPr>
            </w:pPr>
          </w:p>
        </w:tc>
        <w:tc>
          <w:tcPr>
            <w:tcW w:w="3652" w:type="dxa"/>
          </w:tcPr>
          <w:p w:rsidR="00DB6FEA" w:rsidRDefault="00DB6FEA" w:rsidP="00DB6FEA">
            <w:pPr>
              <w:jc w:val="center"/>
              <w:rPr>
                <w:b/>
                <w:sz w:val="24"/>
              </w:rPr>
            </w:pPr>
          </w:p>
        </w:tc>
      </w:tr>
      <w:tr w:rsidR="00674AEE" w:rsidTr="003C122D">
        <w:tc>
          <w:tcPr>
            <w:tcW w:w="5802" w:type="dxa"/>
          </w:tcPr>
          <w:p w:rsidR="00DB6FEA" w:rsidRDefault="00DB6FEA" w:rsidP="00DB6FEA">
            <w:pPr>
              <w:pStyle w:val="ListParagraph"/>
              <w:numPr>
                <w:ilvl w:val="0"/>
                <w:numId w:val="1"/>
              </w:numPr>
              <w:rPr>
                <w:b/>
                <w:sz w:val="24"/>
              </w:rPr>
            </w:pPr>
            <w:r>
              <w:rPr>
                <w:b/>
                <w:sz w:val="24"/>
              </w:rPr>
              <w:t>Assessment</w:t>
            </w:r>
          </w:p>
          <w:p w:rsidR="00DB6FEA" w:rsidRDefault="00DB6FEA" w:rsidP="00DF76A4">
            <w:pPr>
              <w:pStyle w:val="ListParagraph"/>
              <w:numPr>
                <w:ilvl w:val="1"/>
                <w:numId w:val="1"/>
              </w:numPr>
              <w:ind w:left="1134"/>
              <w:rPr>
                <w:sz w:val="24"/>
              </w:rPr>
            </w:pPr>
            <w:r w:rsidRPr="00DB6FEA">
              <w:rPr>
                <w:sz w:val="24"/>
              </w:rPr>
              <w:t xml:space="preserve">How  students </w:t>
            </w:r>
            <w:r w:rsidR="000A5ADB">
              <w:rPr>
                <w:sz w:val="24"/>
              </w:rPr>
              <w:t xml:space="preserve">will </w:t>
            </w:r>
            <w:r w:rsidRPr="00DB6FEA">
              <w:rPr>
                <w:sz w:val="24"/>
              </w:rPr>
              <w:t>be evaluated</w:t>
            </w:r>
          </w:p>
          <w:p w:rsidR="0099494E" w:rsidRDefault="0099494E" w:rsidP="00CD516B">
            <w:pPr>
              <w:pStyle w:val="ListParagraph"/>
              <w:numPr>
                <w:ilvl w:val="2"/>
                <w:numId w:val="1"/>
              </w:numPr>
              <w:ind w:left="1560"/>
              <w:rPr>
                <w:sz w:val="24"/>
              </w:rPr>
            </w:pPr>
            <w:r>
              <w:rPr>
                <w:sz w:val="24"/>
              </w:rPr>
              <w:t>Formative feedback</w:t>
            </w:r>
          </w:p>
          <w:p w:rsidR="0099494E" w:rsidRDefault="0099494E" w:rsidP="00CD516B">
            <w:pPr>
              <w:pStyle w:val="ListParagraph"/>
              <w:numPr>
                <w:ilvl w:val="2"/>
                <w:numId w:val="1"/>
              </w:numPr>
              <w:ind w:left="1560"/>
              <w:rPr>
                <w:sz w:val="24"/>
              </w:rPr>
            </w:pPr>
            <w:r>
              <w:rPr>
                <w:sz w:val="24"/>
              </w:rPr>
              <w:t>Summative feedback</w:t>
            </w:r>
          </w:p>
          <w:p w:rsidR="00CD516B" w:rsidRDefault="00DB6FEA" w:rsidP="00AE6E35">
            <w:pPr>
              <w:pStyle w:val="ListParagraph"/>
              <w:numPr>
                <w:ilvl w:val="1"/>
                <w:numId w:val="1"/>
              </w:numPr>
              <w:ind w:left="1134"/>
              <w:rPr>
                <w:sz w:val="24"/>
              </w:rPr>
            </w:pPr>
            <w:r w:rsidRPr="00CD516B">
              <w:rPr>
                <w:sz w:val="24"/>
              </w:rPr>
              <w:t xml:space="preserve">Description of assignments, </w:t>
            </w:r>
            <w:r w:rsidR="00CD516B" w:rsidRPr="00CD516B">
              <w:rPr>
                <w:sz w:val="24"/>
              </w:rPr>
              <w:t xml:space="preserve">relative weights and </w:t>
            </w:r>
            <w:r w:rsidRPr="00CD516B">
              <w:rPr>
                <w:sz w:val="24"/>
              </w:rPr>
              <w:t>due dates</w:t>
            </w:r>
          </w:p>
          <w:p w:rsidR="0099494E" w:rsidRPr="00CD516B" w:rsidRDefault="0099494E" w:rsidP="00CD516B">
            <w:pPr>
              <w:pStyle w:val="ListParagraph"/>
              <w:numPr>
                <w:ilvl w:val="2"/>
                <w:numId w:val="1"/>
              </w:numPr>
              <w:ind w:left="1560"/>
              <w:rPr>
                <w:sz w:val="24"/>
              </w:rPr>
            </w:pPr>
            <w:r w:rsidRPr="00CD516B">
              <w:rPr>
                <w:sz w:val="24"/>
              </w:rPr>
              <w:t xml:space="preserve">Plan to provide at least one grade </w:t>
            </w:r>
            <w:r w:rsidR="009336BE" w:rsidRPr="00CD516B">
              <w:rPr>
                <w:sz w:val="24"/>
              </w:rPr>
              <w:t xml:space="preserve">and narrative feedback </w:t>
            </w:r>
            <w:r w:rsidRPr="00CD516B">
              <w:rPr>
                <w:sz w:val="24"/>
              </w:rPr>
              <w:t xml:space="preserve">to students </w:t>
            </w:r>
            <w:r w:rsidRPr="00CD516B">
              <w:rPr>
                <w:b/>
                <w:sz w:val="24"/>
              </w:rPr>
              <w:t>before the drop date</w:t>
            </w:r>
          </w:p>
          <w:p w:rsidR="00DB6FEA" w:rsidRPr="00DB6FEA" w:rsidRDefault="00DB6FEA" w:rsidP="00DF76A4">
            <w:pPr>
              <w:pStyle w:val="ListParagraph"/>
              <w:numPr>
                <w:ilvl w:val="1"/>
                <w:numId w:val="1"/>
              </w:numPr>
              <w:ind w:left="1134"/>
              <w:rPr>
                <w:b/>
                <w:sz w:val="24"/>
              </w:rPr>
            </w:pPr>
            <w:r w:rsidRPr="00DB6FEA">
              <w:rPr>
                <w:sz w:val="24"/>
              </w:rPr>
              <w:t>Analytic or holistic rubric describing how work/performance will be assessed</w:t>
            </w:r>
            <w:r w:rsidR="00C27923" w:rsidRPr="003C122D">
              <w:rPr>
                <w:b/>
                <w:sz w:val="24"/>
              </w:rPr>
              <w:t>*</w:t>
            </w:r>
          </w:p>
        </w:tc>
        <w:tc>
          <w:tcPr>
            <w:tcW w:w="827" w:type="dxa"/>
          </w:tcPr>
          <w:p w:rsidR="00DB6FEA" w:rsidRDefault="00DB6FEA" w:rsidP="00DB6FEA">
            <w:pPr>
              <w:jc w:val="center"/>
              <w:rPr>
                <w:b/>
                <w:sz w:val="24"/>
              </w:rPr>
            </w:pPr>
          </w:p>
        </w:tc>
        <w:tc>
          <w:tcPr>
            <w:tcW w:w="3652" w:type="dxa"/>
          </w:tcPr>
          <w:p w:rsidR="00DB6FEA" w:rsidRDefault="00DB6FEA" w:rsidP="00DB6FEA">
            <w:pPr>
              <w:jc w:val="center"/>
              <w:rPr>
                <w:b/>
                <w:sz w:val="24"/>
              </w:rPr>
            </w:pPr>
          </w:p>
        </w:tc>
      </w:tr>
      <w:tr w:rsidR="00CD516B" w:rsidTr="003C122D">
        <w:tc>
          <w:tcPr>
            <w:tcW w:w="5802" w:type="dxa"/>
          </w:tcPr>
          <w:p w:rsidR="00DB6FEA" w:rsidRPr="00C27923" w:rsidRDefault="00DF76A4" w:rsidP="00C27923">
            <w:pPr>
              <w:pStyle w:val="ListParagraph"/>
              <w:numPr>
                <w:ilvl w:val="0"/>
                <w:numId w:val="1"/>
              </w:numPr>
              <w:jc w:val="both"/>
              <w:rPr>
                <w:b/>
                <w:sz w:val="24"/>
              </w:rPr>
            </w:pPr>
            <w:r>
              <w:br w:type="page"/>
            </w:r>
            <w:r w:rsidR="00C27923" w:rsidRPr="00C27923">
              <w:rPr>
                <w:b/>
                <w:sz w:val="24"/>
              </w:rPr>
              <w:t>Learning Resources</w:t>
            </w:r>
          </w:p>
          <w:p w:rsidR="00C27923" w:rsidRPr="00C27923" w:rsidRDefault="00C27923" w:rsidP="00DF76A4">
            <w:pPr>
              <w:pStyle w:val="ListParagraph"/>
              <w:numPr>
                <w:ilvl w:val="1"/>
                <w:numId w:val="1"/>
              </w:numPr>
              <w:ind w:left="1134"/>
              <w:rPr>
                <w:sz w:val="24"/>
              </w:rPr>
            </w:pPr>
            <w:r w:rsidRPr="00C27923">
              <w:rPr>
                <w:sz w:val="24"/>
              </w:rPr>
              <w:t>List of required and optional readings</w:t>
            </w:r>
            <w:r w:rsidR="00DF76A4">
              <w:rPr>
                <w:sz w:val="24"/>
              </w:rPr>
              <w:t>/texts</w:t>
            </w:r>
          </w:p>
          <w:p w:rsidR="00C27923" w:rsidRPr="00C27923" w:rsidRDefault="00C27923" w:rsidP="00DF76A4">
            <w:pPr>
              <w:pStyle w:val="ListParagraph"/>
              <w:numPr>
                <w:ilvl w:val="1"/>
                <w:numId w:val="1"/>
              </w:numPr>
              <w:ind w:left="1134"/>
              <w:rPr>
                <w:sz w:val="24"/>
              </w:rPr>
            </w:pPr>
            <w:r w:rsidRPr="00C27923">
              <w:rPr>
                <w:sz w:val="24"/>
              </w:rPr>
              <w:t xml:space="preserve">Other resources </w:t>
            </w:r>
            <w:r w:rsidR="009336BE">
              <w:rPr>
                <w:sz w:val="24"/>
              </w:rPr>
              <w:t>(</w:t>
            </w:r>
            <w:proofErr w:type="spellStart"/>
            <w:r w:rsidR="009336BE">
              <w:rPr>
                <w:sz w:val="24"/>
              </w:rPr>
              <w:t>eg</w:t>
            </w:r>
            <w:proofErr w:type="spellEnd"/>
            <w:r w:rsidR="009336BE">
              <w:rPr>
                <w:sz w:val="24"/>
              </w:rPr>
              <w:t xml:space="preserve"> </w:t>
            </w:r>
            <w:r w:rsidRPr="00C27923">
              <w:rPr>
                <w:sz w:val="24"/>
              </w:rPr>
              <w:t>videos, grey literature, reports</w:t>
            </w:r>
            <w:r w:rsidR="009336BE">
              <w:rPr>
                <w:sz w:val="24"/>
              </w:rPr>
              <w:t>)</w:t>
            </w:r>
          </w:p>
          <w:p w:rsidR="00C27923" w:rsidRPr="00C27923" w:rsidRDefault="00C27923" w:rsidP="00DF76A4">
            <w:pPr>
              <w:pStyle w:val="ListParagraph"/>
              <w:numPr>
                <w:ilvl w:val="1"/>
                <w:numId w:val="1"/>
              </w:numPr>
              <w:ind w:left="1134"/>
              <w:rPr>
                <w:sz w:val="24"/>
              </w:rPr>
            </w:pPr>
            <w:r w:rsidRPr="00C27923">
              <w:rPr>
                <w:sz w:val="24"/>
              </w:rPr>
              <w:t>How to access the above</w:t>
            </w:r>
            <w:r w:rsidR="009336BE">
              <w:rPr>
                <w:sz w:val="24"/>
              </w:rPr>
              <w:t xml:space="preserve"> (</w:t>
            </w:r>
            <w:proofErr w:type="spellStart"/>
            <w:r w:rsidR="009336BE">
              <w:rPr>
                <w:sz w:val="24"/>
              </w:rPr>
              <w:t>eg</w:t>
            </w:r>
            <w:proofErr w:type="spellEnd"/>
            <w:r w:rsidR="009336BE">
              <w:rPr>
                <w:sz w:val="24"/>
              </w:rPr>
              <w:t xml:space="preserve"> portal</w:t>
            </w:r>
            <w:r w:rsidR="001C370C">
              <w:rPr>
                <w:sz w:val="24"/>
              </w:rPr>
              <w:t>)</w:t>
            </w:r>
            <w:r w:rsidR="009336BE">
              <w:rPr>
                <w:sz w:val="24"/>
              </w:rPr>
              <w:t xml:space="preserve"> </w:t>
            </w:r>
          </w:p>
        </w:tc>
        <w:tc>
          <w:tcPr>
            <w:tcW w:w="827" w:type="dxa"/>
          </w:tcPr>
          <w:p w:rsidR="00DB6FEA" w:rsidRDefault="00DB6FEA" w:rsidP="00DB6FEA">
            <w:pPr>
              <w:jc w:val="center"/>
              <w:rPr>
                <w:b/>
                <w:sz w:val="24"/>
              </w:rPr>
            </w:pPr>
          </w:p>
        </w:tc>
        <w:tc>
          <w:tcPr>
            <w:tcW w:w="3652" w:type="dxa"/>
          </w:tcPr>
          <w:p w:rsidR="00DB6FEA" w:rsidRDefault="00DB6FEA" w:rsidP="00DB6FEA">
            <w:pPr>
              <w:jc w:val="center"/>
              <w:rPr>
                <w:b/>
                <w:sz w:val="24"/>
              </w:rPr>
            </w:pPr>
          </w:p>
        </w:tc>
      </w:tr>
      <w:tr w:rsidR="00CD516B" w:rsidTr="003C122D">
        <w:tc>
          <w:tcPr>
            <w:tcW w:w="5802" w:type="dxa"/>
          </w:tcPr>
          <w:p w:rsidR="00DB6FEA" w:rsidRPr="00C27923" w:rsidRDefault="00C27923" w:rsidP="00C27923">
            <w:pPr>
              <w:pStyle w:val="ListParagraph"/>
              <w:numPr>
                <w:ilvl w:val="0"/>
                <w:numId w:val="1"/>
              </w:numPr>
              <w:rPr>
                <w:b/>
                <w:sz w:val="24"/>
              </w:rPr>
            </w:pPr>
            <w:r w:rsidRPr="00C27923">
              <w:rPr>
                <w:b/>
                <w:sz w:val="24"/>
              </w:rPr>
              <w:t>Policy statements (SGS and departmental)</w:t>
            </w:r>
          </w:p>
          <w:p w:rsidR="009B5BF2" w:rsidRDefault="009B5BF2" w:rsidP="00DF76A4">
            <w:pPr>
              <w:pStyle w:val="ListParagraph"/>
              <w:numPr>
                <w:ilvl w:val="1"/>
                <w:numId w:val="1"/>
              </w:numPr>
              <w:ind w:left="1134"/>
              <w:rPr>
                <w:sz w:val="24"/>
              </w:rPr>
            </w:pPr>
            <w:r>
              <w:rPr>
                <w:sz w:val="24"/>
              </w:rPr>
              <w:t>Penalty for late submission</w:t>
            </w:r>
          </w:p>
          <w:p w:rsidR="00C27923" w:rsidRPr="009B5BF2" w:rsidRDefault="00C27923" w:rsidP="009B5BF2">
            <w:pPr>
              <w:pStyle w:val="ListParagraph"/>
              <w:numPr>
                <w:ilvl w:val="1"/>
                <w:numId w:val="1"/>
              </w:numPr>
              <w:ind w:left="1134"/>
              <w:rPr>
                <w:sz w:val="24"/>
              </w:rPr>
            </w:pPr>
            <w:r>
              <w:rPr>
                <w:sz w:val="24"/>
              </w:rPr>
              <w:t>Academic integrity</w:t>
            </w:r>
          </w:p>
          <w:p w:rsidR="00C27923" w:rsidRDefault="00C27923" w:rsidP="00DF76A4">
            <w:pPr>
              <w:pStyle w:val="ListParagraph"/>
              <w:numPr>
                <w:ilvl w:val="1"/>
                <w:numId w:val="1"/>
              </w:numPr>
              <w:ind w:left="1134"/>
              <w:rPr>
                <w:sz w:val="24"/>
              </w:rPr>
            </w:pPr>
            <w:r>
              <w:rPr>
                <w:sz w:val="24"/>
              </w:rPr>
              <w:t>Accessibility and accommodation</w:t>
            </w:r>
          </w:p>
          <w:p w:rsidR="00C27923" w:rsidRDefault="00C27923" w:rsidP="00DF76A4">
            <w:pPr>
              <w:pStyle w:val="ListParagraph"/>
              <w:numPr>
                <w:ilvl w:val="1"/>
                <w:numId w:val="1"/>
              </w:numPr>
              <w:ind w:left="1134"/>
              <w:rPr>
                <w:sz w:val="24"/>
              </w:rPr>
            </w:pPr>
            <w:r>
              <w:rPr>
                <w:sz w:val="24"/>
              </w:rPr>
              <w:t xml:space="preserve">Use of </w:t>
            </w:r>
            <w:proofErr w:type="spellStart"/>
            <w:r>
              <w:rPr>
                <w:sz w:val="24"/>
              </w:rPr>
              <w:t>Turnitin</w:t>
            </w:r>
            <w:proofErr w:type="spellEnd"/>
            <w:r>
              <w:rPr>
                <w:sz w:val="24"/>
              </w:rPr>
              <w:t xml:space="preserve"> </w:t>
            </w:r>
            <w:r w:rsidR="001C370C">
              <w:rPr>
                <w:sz w:val="24"/>
              </w:rPr>
              <w:t>(</w:t>
            </w:r>
            <w:r>
              <w:rPr>
                <w:sz w:val="24"/>
              </w:rPr>
              <w:t xml:space="preserve">if </w:t>
            </w:r>
            <w:r w:rsidR="001C370C">
              <w:rPr>
                <w:sz w:val="24"/>
              </w:rPr>
              <w:t>necessary)</w:t>
            </w:r>
          </w:p>
          <w:p w:rsidR="00C27923" w:rsidRPr="00C27923" w:rsidRDefault="00C27923" w:rsidP="00DF76A4">
            <w:pPr>
              <w:pStyle w:val="ListParagraph"/>
              <w:numPr>
                <w:ilvl w:val="1"/>
                <w:numId w:val="1"/>
              </w:numPr>
              <w:ind w:left="1134"/>
              <w:rPr>
                <w:sz w:val="24"/>
              </w:rPr>
            </w:pPr>
            <w:r>
              <w:rPr>
                <w:sz w:val="24"/>
              </w:rPr>
              <w:t>Other</w:t>
            </w:r>
          </w:p>
        </w:tc>
        <w:tc>
          <w:tcPr>
            <w:tcW w:w="827" w:type="dxa"/>
          </w:tcPr>
          <w:p w:rsidR="00DB6FEA" w:rsidRDefault="00DB6FEA" w:rsidP="00DB6FEA">
            <w:pPr>
              <w:jc w:val="center"/>
              <w:rPr>
                <w:b/>
                <w:sz w:val="24"/>
              </w:rPr>
            </w:pPr>
          </w:p>
        </w:tc>
        <w:tc>
          <w:tcPr>
            <w:tcW w:w="3652" w:type="dxa"/>
          </w:tcPr>
          <w:p w:rsidR="00DB6FEA" w:rsidRDefault="00DB6FEA" w:rsidP="00DB6FEA">
            <w:pPr>
              <w:jc w:val="center"/>
              <w:rPr>
                <w:b/>
                <w:sz w:val="24"/>
              </w:rPr>
            </w:pPr>
          </w:p>
        </w:tc>
      </w:tr>
    </w:tbl>
    <w:p w:rsidR="00DB6FEA" w:rsidRDefault="00DB6FEA" w:rsidP="004F49CB">
      <w:pPr>
        <w:rPr>
          <w:b/>
          <w:sz w:val="24"/>
        </w:rPr>
      </w:pPr>
    </w:p>
    <w:p w:rsidR="0099494E" w:rsidRPr="00DF511A" w:rsidRDefault="00F27355" w:rsidP="00674AEE">
      <w:pPr>
        <w:pStyle w:val="ListParagraph"/>
        <w:ind w:left="0"/>
      </w:pPr>
      <w:r w:rsidRPr="00DF511A">
        <w:rPr>
          <w:b/>
        </w:rPr>
        <w:lastRenderedPageBreak/>
        <w:t>*</w:t>
      </w:r>
      <w:r w:rsidR="00674AEE" w:rsidRPr="00DF511A">
        <w:rPr>
          <w:b/>
        </w:rPr>
        <w:t>Rubrics</w:t>
      </w:r>
      <w:r w:rsidR="00674AEE" w:rsidRPr="00DF511A">
        <w:t xml:space="preserve">: </w:t>
      </w:r>
      <w:r w:rsidR="00C27923" w:rsidRPr="00DF511A">
        <w:t xml:space="preserve">Instructors are encouraged to communicate their </w:t>
      </w:r>
      <w:r w:rsidRPr="00DF511A">
        <w:t xml:space="preserve">assignment </w:t>
      </w:r>
      <w:r w:rsidR="00C27923" w:rsidRPr="00DF511A">
        <w:t>expectation</w:t>
      </w:r>
      <w:r w:rsidRPr="00DF511A">
        <w:t>s to students</w:t>
      </w:r>
      <w:r w:rsidR="00C27923" w:rsidRPr="00DF511A">
        <w:t xml:space="preserve"> by providing either analytic </w:t>
      </w:r>
      <w:r w:rsidRPr="00DF511A">
        <w:t>or holi</w:t>
      </w:r>
      <w:r w:rsidR="00C27923" w:rsidRPr="00DF511A">
        <w:t>stic rubri</w:t>
      </w:r>
      <w:r w:rsidRPr="00DF511A">
        <w:t>c</w:t>
      </w:r>
      <w:r w:rsidR="00C27923" w:rsidRPr="00DF511A">
        <w:t>s</w:t>
      </w:r>
      <w:r w:rsidRPr="00DF511A">
        <w:t xml:space="preserve">. </w:t>
      </w:r>
      <w:r w:rsidR="009336BE" w:rsidRPr="00DF511A">
        <w:t>These can be included in the course syllabus or on a separate handout to students</w:t>
      </w:r>
      <w:r w:rsidR="003C122D" w:rsidRPr="00DF511A">
        <w:t>.</w:t>
      </w:r>
    </w:p>
    <w:p w:rsidR="0099494E" w:rsidRPr="00DF511A" w:rsidRDefault="00CD516B" w:rsidP="004F49CB">
      <w:pPr>
        <w:pStyle w:val="ListParagraph"/>
        <w:ind w:left="0"/>
      </w:pPr>
      <w:r w:rsidRPr="00DF511A">
        <w:rPr>
          <w:b/>
        </w:rPr>
        <w:br/>
      </w:r>
      <w:r w:rsidR="00F27355" w:rsidRPr="00DF511A">
        <w:rPr>
          <w:b/>
        </w:rPr>
        <w:t>Analytic</w:t>
      </w:r>
      <w:r w:rsidR="0099494E" w:rsidRPr="00DF511A">
        <w:rPr>
          <w:b/>
        </w:rPr>
        <w:t xml:space="preserve"> Rubric</w:t>
      </w:r>
      <w:r w:rsidR="00F00199" w:rsidRPr="00DF511A">
        <w:rPr>
          <w:b/>
        </w:rPr>
        <w:t xml:space="preserve">: </w:t>
      </w:r>
      <w:r w:rsidR="00F00199" w:rsidRPr="00DF511A">
        <w:t>S</w:t>
      </w:r>
      <w:r w:rsidR="0099494E" w:rsidRPr="00DF511A">
        <w:t>pecifies criteria for each component of assignment and provides feedback on each. Each component can be weighted according to its relative importance.</w:t>
      </w:r>
    </w:p>
    <w:p w:rsidR="0099494E" w:rsidRPr="00DF511A" w:rsidRDefault="00F27355" w:rsidP="00F00199">
      <w:pPr>
        <w:pStyle w:val="ListParagraph"/>
        <w:ind w:left="0"/>
      </w:pPr>
      <w:r w:rsidRPr="00DF511A">
        <w:rPr>
          <w:b/>
        </w:rPr>
        <w:t>Holistic</w:t>
      </w:r>
      <w:r w:rsidR="009336BE" w:rsidRPr="00DF511A">
        <w:rPr>
          <w:b/>
        </w:rPr>
        <w:t xml:space="preserve"> Rubric</w:t>
      </w:r>
      <w:r w:rsidR="00F00199" w:rsidRPr="00DF511A">
        <w:rPr>
          <w:b/>
        </w:rPr>
        <w:t xml:space="preserve">: </w:t>
      </w:r>
      <w:r w:rsidR="0099494E" w:rsidRPr="00DF511A">
        <w:t>Defines overall quality of assignment. Does not provide feedback or indicators for specific</w:t>
      </w:r>
      <w:r w:rsidR="001C370C" w:rsidRPr="00DF511A">
        <w:t xml:space="preserve"> </w:t>
      </w:r>
      <w:r w:rsidR="0099494E" w:rsidRPr="00DF511A">
        <w:t xml:space="preserve">components. </w:t>
      </w:r>
    </w:p>
    <w:p w:rsidR="00674AEE" w:rsidRPr="00DF511A" w:rsidRDefault="00674AEE" w:rsidP="00F00199">
      <w:pPr>
        <w:pStyle w:val="ListParagraph"/>
        <w:ind w:left="0"/>
      </w:pPr>
    </w:p>
    <w:p w:rsidR="00674AEE" w:rsidRPr="00DF511A" w:rsidRDefault="00674AEE" w:rsidP="00F00199">
      <w:pPr>
        <w:pStyle w:val="ListParagraph"/>
        <w:ind w:left="0"/>
      </w:pPr>
      <w:r w:rsidRPr="00DF511A">
        <w:t>For more information and examples, visit:</w:t>
      </w:r>
    </w:p>
    <w:p w:rsidR="00674AEE" w:rsidRPr="00DF511A" w:rsidRDefault="00DF511A" w:rsidP="00F00199">
      <w:pPr>
        <w:pStyle w:val="ListParagraph"/>
        <w:ind w:left="0"/>
      </w:pPr>
      <w:hyperlink r:id="rId8" w:history="1">
        <w:r w:rsidR="00674AEE" w:rsidRPr="00DF511A">
          <w:rPr>
            <w:rStyle w:val="Hyperlink"/>
          </w:rPr>
          <w:t>www.cmu.edu/teaching/assessment/assesslearning/rubrics.html</w:t>
        </w:r>
      </w:hyperlink>
    </w:p>
    <w:p w:rsidR="000A5ADB" w:rsidRDefault="000A5ADB" w:rsidP="004F49CB">
      <w:pPr>
        <w:pStyle w:val="ListParagraph"/>
        <w:ind w:left="0"/>
      </w:pPr>
    </w:p>
    <w:p w:rsidR="00DF511A" w:rsidRPr="00DF511A" w:rsidRDefault="00DF511A" w:rsidP="004F49CB">
      <w:pPr>
        <w:pStyle w:val="ListParagraph"/>
        <w:ind w:left="0"/>
      </w:pPr>
      <w:r>
        <w:t xml:space="preserve">The </w:t>
      </w:r>
      <w:r w:rsidRPr="00DF511A">
        <w:rPr>
          <w:b/>
        </w:rPr>
        <w:t>Course Reserves and Syllabus Service</w:t>
      </w:r>
      <w:r w:rsidRPr="00DF511A">
        <w:t xml:space="preserve"> </w:t>
      </w:r>
      <w:r>
        <w:t>m</w:t>
      </w:r>
      <w:r w:rsidRPr="00DF511A">
        <w:t>ake</w:t>
      </w:r>
      <w:r>
        <w:t>s</w:t>
      </w:r>
      <w:r w:rsidRPr="00DF511A">
        <w:t xml:space="preserve"> your course readings available to students while respecting Canadian copyright provisions and existing U of T licensing agreements: </w:t>
      </w:r>
    </w:p>
    <w:p w:rsidR="00DF511A" w:rsidRPr="00DF511A" w:rsidRDefault="00DF511A" w:rsidP="004F49CB">
      <w:pPr>
        <w:pStyle w:val="ListParagraph"/>
        <w:ind w:left="0"/>
      </w:pPr>
      <w:hyperlink r:id="rId9" w:history="1">
        <w:r w:rsidRPr="00DF511A">
          <w:rPr>
            <w:rStyle w:val="Hyperlink"/>
          </w:rPr>
          <w:t>https://onesearch.library.utoronto.ca/copyright/course-reserves-and-syllabus-service</w:t>
        </w:r>
      </w:hyperlink>
    </w:p>
    <w:p w:rsidR="00DF511A" w:rsidRPr="00DF511A" w:rsidRDefault="00DF511A" w:rsidP="004F49CB">
      <w:pPr>
        <w:pStyle w:val="ListParagraph"/>
        <w:ind w:left="0"/>
      </w:pPr>
    </w:p>
    <w:p w:rsidR="009B5BF2" w:rsidRPr="00DF511A" w:rsidRDefault="009B5BF2" w:rsidP="009E22BB">
      <w:pPr>
        <w:pStyle w:val="ListParagraph"/>
        <w:ind w:left="0"/>
      </w:pPr>
      <w:r w:rsidRPr="00DF511A">
        <w:t xml:space="preserve">The </w:t>
      </w:r>
      <w:r w:rsidRPr="00DF511A">
        <w:rPr>
          <w:b/>
        </w:rPr>
        <w:t>Green Courses</w:t>
      </w:r>
      <w:r w:rsidRPr="00DF511A">
        <w:t xml:space="preserve"> program recognizes courses where steps have been taken to reduce the use of paper (e.g. by double-siding course documents).  To learn how to get your course recognized, visit</w:t>
      </w:r>
      <w:proofErr w:type="gramStart"/>
      <w:r w:rsidRPr="00DF511A">
        <w:t>:</w:t>
      </w:r>
      <w:proofErr w:type="gramEnd"/>
      <w:r w:rsidR="00CD516B" w:rsidRPr="00DF511A">
        <w:br/>
      </w:r>
      <w:hyperlink r:id="rId10" w:history="1">
        <w:r w:rsidR="003C122D" w:rsidRPr="00DF511A">
          <w:rPr>
            <w:rStyle w:val="Hyperlink"/>
          </w:rPr>
          <w:t>h</w:t>
        </w:r>
        <w:bookmarkStart w:id="0" w:name="_GoBack"/>
        <w:bookmarkEnd w:id="0"/>
        <w:r w:rsidR="003C122D" w:rsidRPr="00DF511A">
          <w:rPr>
            <w:rStyle w:val="Hyperlink"/>
          </w:rPr>
          <w:t>ttp://www.fs.utoronto.ca/SustainabilityOffice/Programs/GreenCourses/</w:t>
        </w:r>
      </w:hyperlink>
      <w:r w:rsidR="009E22BB" w:rsidRPr="00DF511A">
        <w:br/>
      </w:r>
    </w:p>
    <w:p w:rsidR="003C122D" w:rsidRPr="00DF511A" w:rsidRDefault="009B5BF2" w:rsidP="009E22BB">
      <w:pPr>
        <w:pStyle w:val="ListParagraph"/>
        <w:ind w:left="0"/>
      </w:pPr>
      <w:r w:rsidRPr="00DF511A">
        <w:t xml:space="preserve">The </w:t>
      </w:r>
      <w:r w:rsidRPr="00DF511A">
        <w:rPr>
          <w:b/>
        </w:rPr>
        <w:t>Zero-to-Low Cost</w:t>
      </w:r>
      <w:r w:rsidRPr="00DF511A">
        <w:t xml:space="preserve"> project addresses the systemic double payment for course materials by U of T students, by providing an alternative to the use of course packs, which often include material already electronically available to students through the UTL collection. To learn more or to </w:t>
      </w:r>
      <w:r w:rsidR="00674AEE" w:rsidRPr="00DF511A">
        <w:t>participate in the project, visit:</w:t>
      </w:r>
      <w:r w:rsidR="003C122D" w:rsidRPr="00DF511A">
        <w:t xml:space="preserve"> </w:t>
      </w:r>
      <w:r w:rsidR="009E22BB" w:rsidRPr="00DF511A">
        <w:br/>
      </w:r>
      <w:hyperlink r:id="rId11" w:history="1">
        <w:r w:rsidR="003C122D" w:rsidRPr="00DF511A">
          <w:rPr>
            <w:rStyle w:val="Hyperlink"/>
          </w:rPr>
          <w:t>https://onesearch.library.utoronto.ca/copyright/services/ztlcc</w:t>
        </w:r>
      </w:hyperlink>
    </w:p>
    <w:p w:rsidR="00CB0EB2" w:rsidRPr="00DF511A" w:rsidRDefault="00CB0EB2" w:rsidP="003C122D">
      <w:pPr>
        <w:pStyle w:val="ListParagraph"/>
        <w:ind w:left="0"/>
        <w:jc w:val="both"/>
      </w:pPr>
    </w:p>
    <w:p w:rsidR="00F00199" w:rsidRPr="00DF511A" w:rsidRDefault="00F00199" w:rsidP="009B5BF2">
      <w:pPr>
        <w:pStyle w:val="ListParagraph"/>
        <w:ind w:left="0"/>
      </w:pPr>
      <w:r w:rsidRPr="00DF511A">
        <w:rPr>
          <w:b/>
        </w:rPr>
        <w:t xml:space="preserve">Sample Statements for your Course </w:t>
      </w:r>
      <w:proofErr w:type="gramStart"/>
      <w:r w:rsidRPr="00DF511A">
        <w:rPr>
          <w:b/>
        </w:rPr>
        <w:t>Syllabi</w:t>
      </w:r>
      <w:proofErr w:type="gramEnd"/>
      <w:r w:rsidR="00674AEE" w:rsidRPr="00DF511A">
        <w:rPr>
          <w:b/>
        </w:rPr>
        <w:br/>
      </w:r>
      <w:r w:rsidR="009B5BF2" w:rsidRPr="00DF511A">
        <w:t xml:space="preserve">(taken from the </w:t>
      </w:r>
      <w:proofErr w:type="spellStart"/>
      <w:r w:rsidR="009B5BF2" w:rsidRPr="00DF511A">
        <w:t>UofT</w:t>
      </w:r>
      <w:proofErr w:type="spellEnd"/>
      <w:r w:rsidR="009B5BF2" w:rsidRPr="00DF511A">
        <w:t xml:space="preserve"> Centre for Teaching Support &amp; Innovation (</w:t>
      </w:r>
      <w:hyperlink r:id="rId12" w:history="1">
        <w:r w:rsidR="009B5BF2" w:rsidRPr="00DF511A">
          <w:rPr>
            <w:rStyle w:val="Hyperlink"/>
          </w:rPr>
          <w:t>www.teaching.utoronto.ca</w:t>
        </w:r>
      </w:hyperlink>
      <w:r w:rsidR="009B5BF2" w:rsidRPr="00DF511A">
        <w:t>)</w:t>
      </w:r>
    </w:p>
    <w:p w:rsidR="00CB0EB2" w:rsidRPr="00DF511A" w:rsidRDefault="00CB0EB2" w:rsidP="00CB0EB2">
      <w:pPr>
        <w:pStyle w:val="ListParagraph"/>
        <w:ind w:left="0"/>
        <w:jc w:val="both"/>
      </w:pPr>
      <w:r w:rsidRPr="00DF511A">
        <w:rPr>
          <w:b/>
        </w:rPr>
        <w:br/>
        <w:t>Academic Integrity</w:t>
      </w:r>
      <w:r w:rsidRPr="00DF511A">
        <w:t>:</w:t>
      </w:r>
    </w:p>
    <w:p w:rsidR="009A5F9B" w:rsidRPr="00DF511A" w:rsidRDefault="00CB0EB2" w:rsidP="00CB0EB2">
      <w:pPr>
        <w:pStyle w:val="ListParagraph"/>
        <w:ind w:left="0"/>
      </w:pPr>
      <w:r w:rsidRPr="00DF511A">
        <w:t xml:space="preserve"> Academic integrity is essential to the pursuit of learning and scholarship in a university, and to ensuring that a degree from the University of Toronto is a strong signal of each student’s individual academic achievement. As a result, the University treats cases of cheating and plagiarism very seriously.  The University of Toronto’s Code of Behaviour on Academic Matters </w:t>
      </w:r>
      <w:r w:rsidR="00DF511A" w:rsidRPr="00DF511A">
        <w:t>outlines the behaviours that constitute academic dishonesty and the processes f</w:t>
      </w:r>
      <w:r w:rsidR="00DF511A">
        <w:t xml:space="preserve">or addressing academic offences: </w:t>
      </w:r>
      <w:r w:rsidRPr="00DF511A">
        <w:t>(</w:t>
      </w:r>
      <w:hyperlink r:id="rId13" w:history="1">
        <w:r w:rsidR="009A5F9B" w:rsidRPr="00DF511A">
          <w:rPr>
            <w:rStyle w:val="Hyperlink"/>
            <w:sz w:val="20"/>
            <w:szCs w:val="20"/>
          </w:rPr>
          <w:t>http://www.governingcouncil.utoronto.ca/Assets/Governing+Council+Digital+Assets/Policies/PDF/ppjun011995.pdf</w:t>
        </w:r>
      </w:hyperlink>
      <w:r w:rsidRPr="00DF511A">
        <w:t xml:space="preserve">) </w:t>
      </w:r>
    </w:p>
    <w:p w:rsidR="009A5F9B" w:rsidRPr="00DF511A" w:rsidRDefault="009A5F9B" w:rsidP="009A5F9B">
      <w:pPr>
        <w:rPr>
          <w:rFonts w:cs="Arial"/>
        </w:rPr>
      </w:pPr>
      <w:r w:rsidRPr="00DF511A">
        <w:rPr>
          <w:rFonts w:cs="Arial"/>
        </w:rPr>
        <w:t>University of Toronto’s policy regarding plagiarism</w:t>
      </w:r>
      <w:proofErr w:type="gramStart"/>
      <w:r w:rsidRPr="00DF511A">
        <w:rPr>
          <w:rFonts w:cs="Arial"/>
        </w:rPr>
        <w:t>:</w:t>
      </w:r>
      <w:proofErr w:type="gramEnd"/>
      <w:r w:rsidR="00DF511A">
        <w:rPr>
          <w:rFonts w:cs="Arial"/>
        </w:rPr>
        <w:br/>
      </w:r>
      <w:hyperlink r:id="rId14" w:history="1">
        <w:r w:rsidRPr="00DF511A">
          <w:rPr>
            <w:rStyle w:val="Hyperlink"/>
            <w:rFonts w:cs="Arial"/>
          </w:rPr>
          <w:t>http://www.writing.utoronto.ca/advice/using-sources/how-not-to-plagiarize</w:t>
        </w:r>
      </w:hyperlink>
    </w:p>
    <w:p w:rsidR="00CB0EB2" w:rsidRPr="00DF511A" w:rsidRDefault="00CB0EB2" w:rsidP="00CB0EB2">
      <w:pPr>
        <w:pStyle w:val="ListParagraph"/>
        <w:ind w:left="0"/>
      </w:pPr>
      <w:r w:rsidRPr="00DF511A">
        <w:t>Potential offences include, but are not limited to:</w:t>
      </w:r>
    </w:p>
    <w:p w:rsidR="00CB0EB2" w:rsidRPr="00DF511A" w:rsidRDefault="00CB0EB2" w:rsidP="00CB0EB2">
      <w:pPr>
        <w:pStyle w:val="ListParagraph"/>
        <w:ind w:left="0"/>
        <w:rPr>
          <w:i/>
        </w:rPr>
      </w:pPr>
      <w:r w:rsidRPr="00DF511A">
        <w:rPr>
          <w:i/>
        </w:rPr>
        <w:t>In papers and assignments:</w:t>
      </w:r>
    </w:p>
    <w:p w:rsidR="00CB0EB2" w:rsidRPr="00DF511A" w:rsidRDefault="00CB0EB2" w:rsidP="00CB0EB2">
      <w:pPr>
        <w:pStyle w:val="ListParagraph"/>
        <w:ind w:left="0"/>
      </w:pPr>
      <w:r w:rsidRPr="00DF511A">
        <w:t>•Using someone else’s ideas or words without appropriate acknowledgement.</w:t>
      </w:r>
    </w:p>
    <w:p w:rsidR="00CB0EB2" w:rsidRPr="00DF511A" w:rsidRDefault="00CB0EB2" w:rsidP="00CB0EB2">
      <w:pPr>
        <w:pStyle w:val="ListParagraph"/>
        <w:ind w:left="0"/>
      </w:pPr>
      <w:r w:rsidRPr="00DF511A">
        <w:t>•Submitting your own work in more than one course without the permission of the instructor.</w:t>
      </w:r>
    </w:p>
    <w:p w:rsidR="00CB0EB2" w:rsidRPr="00DF511A" w:rsidRDefault="00CB0EB2" w:rsidP="00CB0EB2">
      <w:pPr>
        <w:pStyle w:val="ListParagraph"/>
        <w:ind w:left="0"/>
      </w:pPr>
      <w:r w:rsidRPr="00DF511A">
        <w:t>•Making up sources or facts.</w:t>
      </w:r>
    </w:p>
    <w:p w:rsidR="00CB0EB2" w:rsidRPr="00DF511A" w:rsidRDefault="00CB0EB2" w:rsidP="00CB0EB2">
      <w:pPr>
        <w:pStyle w:val="ListParagraph"/>
        <w:ind w:left="0"/>
      </w:pPr>
      <w:r w:rsidRPr="00DF511A">
        <w:t>•Obtaining or providing unauthorized assistance on any assignment.</w:t>
      </w:r>
    </w:p>
    <w:p w:rsidR="00CB0EB2" w:rsidRPr="00DF511A" w:rsidRDefault="00CB0EB2" w:rsidP="00CB0EB2">
      <w:pPr>
        <w:pStyle w:val="ListParagraph"/>
        <w:ind w:left="0"/>
      </w:pPr>
    </w:p>
    <w:p w:rsidR="00CB0EB2" w:rsidRPr="00DF511A" w:rsidRDefault="00CB0EB2" w:rsidP="00CB0EB2">
      <w:pPr>
        <w:pStyle w:val="ListParagraph"/>
        <w:ind w:left="0"/>
        <w:rPr>
          <w:i/>
        </w:rPr>
      </w:pPr>
      <w:r w:rsidRPr="00DF511A">
        <w:rPr>
          <w:i/>
        </w:rPr>
        <w:lastRenderedPageBreak/>
        <w:t>On tests and exams:</w:t>
      </w:r>
    </w:p>
    <w:p w:rsidR="00CB0EB2" w:rsidRPr="00DF511A" w:rsidRDefault="00CB0EB2" w:rsidP="00CB0EB2">
      <w:pPr>
        <w:pStyle w:val="ListParagraph"/>
        <w:ind w:left="0"/>
      </w:pPr>
      <w:r w:rsidRPr="00DF511A">
        <w:t>•Using or possessing unauthorized aids.</w:t>
      </w:r>
    </w:p>
    <w:p w:rsidR="00CB0EB2" w:rsidRPr="00DF511A" w:rsidRDefault="00CB0EB2" w:rsidP="00CB0EB2">
      <w:pPr>
        <w:pStyle w:val="ListParagraph"/>
        <w:ind w:left="0"/>
      </w:pPr>
      <w:r w:rsidRPr="00DF511A">
        <w:t>•Looking at someone else’s answers during an exam or test.</w:t>
      </w:r>
    </w:p>
    <w:p w:rsidR="00CB0EB2" w:rsidRPr="00DF511A" w:rsidRDefault="00CB0EB2" w:rsidP="00CB0EB2">
      <w:pPr>
        <w:pStyle w:val="ListParagraph"/>
        <w:ind w:left="0"/>
      </w:pPr>
      <w:r w:rsidRPr="00DF511A">
        <w:t>•Misrepresenting your identity.</w:t>
      </w:r>
    </w:p>
    <w:p w:rsidR="00CB0EB2" w:rsidRPr="00DF511A" w:rsidRDefault="00CB0EB2" w:rsidP="00CB0EB2">
      <w:pPr>
        <w:pStyle w:val="ListParagraph"/>
        <w:ind w:left="0"/>
      </w:pPr>
    </w:p>
    <w:p w:rsidR="00CB0EB2" w:rsidRPr="00DF511A" w:rsidRDefault="00DF511A" w:rsidP="00CB0EB2">
      <w:pPr>
        <w:pStyle w:val="ListParagraph"/>
        <w:ind w:left="0"/>
      </w:pPr>
      <w:r>
        <w:rPr>
          <w:b/>
        </w:rPr>
        <w:t xml:space="preserve">Accessibility and </w:t>
      </w:r>
      <w:r w:rsidR="00CB0EB2" w:rsidRPr="00DF511A">
        <w:rPr>
          <w:b/>
        </w:rPr>
        <w:t>Accommodation</w:t>
      </w:r>
      <w:r w:rsidR="00CB0EB2" w:rsidRPr="00DF511A">
        <w:t>:</w:t>
      </w:r>
    </w:p>
    <w:p w:rsidR="00CB0EB2" w:rsidRPr="00DF511A" w:rsidRDefault="00CB0EB2" w:rsidP="00CB0EB2">
      <w:pPr>
        <w:pStyle w:val="ListParagraph"/>
        <w:ind w:left="0"/>
      </w:pPr>
      <w:r w:rsidRPr="00DF511A">
        <w:t xml:space="preserve">The University provides academic accommodations for students with disabilities in accordance with the terms of the Ontario Human Rights Code. This occurs through a collaborative process that acknowledges a collective obligation to develop an accessible learning environment that both meets the needs of students and preserves the essential academic requirements of the University’s courses and programs.  For more information, or to register with Accessibility Services, please visit: </w:t>
      </w:r>
      <w:hyperlink r:id="rId15" w:history="1">
        <w:r w:rsidRPr="00DF511A">
          <w:rPr>
            <w:rStyle w:val="Hyperlink"/>
          </w:rPr>
          <w:t>http://studentlife.utoronto.ca/as</w:t>
        </w:r>
      </w:hyperlink>
    </w:p>
    <w:p w:rsidR="00CB0EB2" w:rsidRPr="00DF511A" w:rsidRDefault="00CB0EB2" w:rsidP="00CB0EB2">
      <w:pPr>
        <w:pStyle w:val="ListParagraph"/>
        <w:ind w:left="0"/>
      </w:pPr>
    </w:p>
    <w:p w:rsidR="009B5BF2" w:rsidRPr="00DF511A" w:rsidRDefault="009B5BF2" w:rsidP="009B5BF2">
      <w:pPr>
        <w:pStyle w:val="NormalWeb"/>
        <w:shd w:val="clear" w:color="auto" w:fill="FFFFFF"/>
        <w:rPr>
          <w:rFonts w:asciiTheme="minorHAnsi" w:hAnsiTheme="minorHAnsi" w:cs="Arial"/>
          <w:color w:val="323232"/>
          <w:sz w:val="22"/>
          <w:szCs w:val="22"/>
          <w:lang w:val="en"/>
        </w:rPr>
      </w:pPr>
      <w:r w:rsidRPr="00DF511A">
        <w:rPr>
          <w:rFonts w:asciiTheme="minorHAnsi" w:eastAsiaTheme="minorHAnsi" w:hAnsiTheme="minorHAnsi" w:cstheme="minorBidi"/>
          <w:b/>
          <w:bCs/>
          <w:sz w:val="22"/>
          <w:szCs w:val="22"/>
        </w:rPr>
        <w:t>Turnitin.com:</w:t>
      </w:r>
      <w:r w:rsidRPr="00DF511A">
        <w:rPr>
          <w:rFonts w:asciiTheme="minorHAnsi" w:hAnsiTheme="minorHAnsi" w:cs="Arial"/>
          <w:color w:val="323232"/>
          <w:sz w:val="22"/>
          <w:szCs w:val="22"/>
          <w:lang w:val="en"/>
        </w:rPr>
        <w:br/>
      </w:r>
      <w:hyperlink r:id="rId16" w:history="1">
        <w:r w:rsidRPr="00DF511A">
          <w:rPr>
            <w:rStyle w:val="Hyperlink"/>
            <w:rFonts w:asciiTheme="minorHAnsi" w:hAnsiTheme="minorHAnsi" w:cs="Arial"/>
            <w:sz w:val="22"/>
            <w:szCs w:val="22"/>
            <w:lang w:val="en"/>
          </w:rPr>
          <w:t>Turnitin.com</w:t>
        </w:r>
      </w:hyperlink>
      <w:r w:rsidRPr="00DF511A">
        <w:rPr>
          <w:rFonts w:asciiTheme="minorHAnsi" w:hAnsiTheme="minorHAnsi" w:cs="Arial"/>
          <w:color w:val="323232"/>
          <w:sz w:val="22"/>
          <w:szCs w:val="22"/>
          <w:lang w:val="en"/>
        </w:rPr>
        <w:t xml:space="preserve"> is a tool that will assist in detecting textual similarities between compared works. Students must be informed at the start of the course that the instructor will be using Turnitin.com.</w:t>
      </w:r>
      <w:r w:rsidRPr="00DF511A">
        <w:rPr>
          <w:rFonts w:asciiTheme="minorHAnsi" w:hAnsiTheme="minorHAnsi" w:cs="Arial"/>
          <w:color w:val="323232"/>
          <w:sz w:val="22"/>
          <w:szCs w:val="22"/>
          <w:lang w:val="en"/>
        </w:rPr>
        <w:br/>
      </w:r>
      <w:r w:rsidRPr="00DF511A">
        <w:rPr>
          <w:rFonts w:asciiTheme="minorHAnsi" w:hAnsiTheme="minorHAnsi" w:cs="Arial"/>
          <w:b/>
          <w:color w:val="323232"/>
          <w:sz w:val="22"/>
          <w:szCs w:val="22"/>
          <w:lang w:val="en"/>
        </w:rPr>
        <w:t>The course syllabus must include the following statement (as is):</w:t>
      </w:r>
    </w:p>
    <w:p w:rsidR="009B5BF2" w:rsidRDefault="009B5BF2" w:rsidP="009B5BF2">
      <w:pPr>
        <w:pStyle w:val="NormalWeb"/>
        <w:shd w:val="clear" w:color="auto" w:fill="FFFFFF"/>
        <w:rPr>
          <w:rFonts w:asciiTheme="minorHAnsi" w:hAnsiTheme="minorHAnsi" w:cs="Arial"/>
          <w:color w:val="323232"/>
          <w:sz w:val="22"/>
          <w:szCs w:val="22"/>
          <w:lang w:val="en"/>
        </w:rPr>
      </w:pPr>
      <w:r w:rsidRPr="00DF511A">
        <w:rPr>
          <w:rFonts w:asciiTheme="minorHAnsi" w:hAnsiTheme="minorHAnsi" w:cs="Arial"/>
          <w:color w:val="323232"/>
          <w:sz w:val="22"/>
          <w:szCs w:val="22"/>
          <w:lang w:val="en"/>
        </w:rPr>
        <w:t>“Normally,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are described on the Turnitin.com web site”.</w:t>
      </w:r>
    </w:p>
    <w:p w:rsidR="00DF511A" w:rsidRPr="00DF511A" w:rsidRDefault="00DF511A" w:rsidP="009B5BF2">
      <w:pPr>
        <w:pStyle w:val="NormalWeb"/>
        <w:shd w:val="clear" w:color="auto" w:fill="FFFFFF"/>
        <w:rPr>
          <w:rFonts w:asciiTheme="minorHAnsi" w:hAnsiTheme="minorHAnsi" w:cs="Arial"/>
          <w:color w:val="323232"/>
          <w:sz w:val="22"/>
          <w:szCs w:val="22"/>
          <w:lang w:val="en"/>
        </w:rPr>
      </w:pPr>
    </w:p>
    <w:sectPr w:rsidR="00DF511A" w:rsidRPr="00DF511A" w:rsidSect="003C122D">
      <w:footerReference w:type="default" r:id="rId17"/>
      <w:pgSz w:w="12240" w:h="15840"/>
      <w:pgMar w:top="568"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E5" w:rsidRDefault="005B29E5" w:rsidP="005B29E5">
      <w:pPr>
        <w:spacing w:after="0" w:line="240" w:lineRule="auto"/>
      </w:pPr>
      <w:r>
        <w:separator/>
      </w:r>
    </w:p>
  </w:endnote>
  <w:endnote w:type="continuationSeparator" w:id="0">
    <w:p w:rsidR="005B29E5" w:rsidRDefault="005B29E5" w:rsidP="005B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E5" w:rsidRDefault="00A3377A">
    <w:pPr>
      <w:pStyle w:val="Footer"/>
    </w:pPr>
    <w:r>
      <w:t>19</w:t>
    </w:r>
    <w:r w:rsidR="005B29E5">
      <w:t xml:space="preserve"> </w:t>
    </w:r>
    <w:r>
      <w:t>October</w:t>
    </w:r>
    <w:r w:rsidR="005B29E5">
      <w:t xml:space="preserve"> 2017</w:t>
    </w:r>
  </w:p>
  <w:p w:rsidR="005B29E5" w:rsidRDefault="005B2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E5" w:rsidRDefault="005B29E5" w:rsidP="005B29E5">
      <w:pPr>
        <w:spacing w:after="0" w:line="240" w:lineRule="auto"/>
      </w:pPr>
      <w:r>
        <w:separator/>
      </w:r>
    </w:p>
  </w:footnote>
  <w:footnote w:type="continuationSeparator" w:id="0">
    <w:p w:rsidR="005B29E5" w:rsidRDefault="005B29E5" w:rsidP="005B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63"/>
    <w:multiLevelType w:val="hybridMultilevel"/>
    <w:tmpl w:val="3DBCE020"/>
    <w:lvl w:ilvl="0" w:tplc="058C0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473"/>
    <w:multiLevelType w:val="hybridMultilevel"/>
    <w:tmpl w:val="09FA0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F1DE0"/>
    <w:multiLevelType w:val="multilevel"/>
    <w:tmpl w:val="A24A9C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34563C"/>
    <w:multiLevelType w:val="hybridMultilevel"/>
    <w:tmpl w:val="6B68E6F0"/>
    <w:lvl w:ilvl="0" w:tplc="058C0F60">
      <w:start w:val="1"/>
      <w:numFmt w:val="decimal"/>
      <w:lvlText w:val="%1."/>
      <w:lvlJc w:val="left"/>
      <w:pPr>
        <w:ind w:left="720" w:hanging="360"/>
      </w:pPr>
      <w:rPr>
        <w:rFonts w:hint="default"/>
        <w:b/>
      </w:rPr>
    </w:lvl>
    <w:lvl w:ilvl="1" w:tplc="1812DD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01D9D"/>
    <w:multiLevelType w:val="hybridMultilevel"/>
    <w:tmpl w:val="A3BC0566"/>
    <w:lvl w:ilvl="0" w:tplc="058C0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C36EC"/>
    <w:multiLevelType w:val="hybridMultilevel"/>
    <w:tmpl w:val="13F05BB8"/>
    <w:lvl w:ilvl="0" w:tplc="309650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EA"/>
    <w:rsid w:val="000A5ADB"/>
    <w:rsid w:val="000F5C8A"/>
    <w:rsid w:val="001A1BA1"/>
    <w:rsid w:val="001C370C"/>
    <w:rsid w:val="003C122D"/>
    <w:rsid w:val="004F49CB"/>
    <w:rsid w:val="005B29E5"/>
    <w:rsid w:val="00674AEE"/>
    <w:rsid w:val="00776A05"/>
    <w:rsid w:val="009336BE"/>
    <w:rsid w:val="009766AC"/>
    <w:rsid w:val="0099494E"/>
    <w:rsid w:val="009A5F9B"/>
    <w:rsid w:val="009B5BF2"/>
    <w:rsid w:val="009E22BB"/>
    <w:rsid w:val="00A3377A"/>
    <w:rsid w:val="00B341C3"/>
    <w:rsid w:val="00C27923"/>
    <w:rsid w:val="00CB0EB2"/>
    <w:rsid w:val="00CD516B"/>
    <w:rsid w:val="00DB6FEA"/>
    <w:rsid w:val="00DF511A"/>
    <w:rsid w:val="00DF76A4"/>
    <w:rsid w:val="00F00199"/>
    <w:rsid w:val="00F2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8ACF"/>
  <w15:docId w15:val="{D2F00AB7-33DF-4383-89F4-646D47B5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FEA"/>
    <w:pPr>
      <w:ind w:left="720"/>
      <w:contextualSpacing/>
    </w:pPr>
  </w:style>
  <w:style w:type="character" w:styleId="Hyperlink">
    <w:name w:val="Hyperlink"/>
    <w:basedOn w:val="DefaultParagraphFont"/>
    <w:uiPriority w:val="99"/>
    <w:unhideWhenUsed/>
    <w:rsid w:val="000A5ADB"/>
    <w:rPr>
      <w:color w:val="0000FF" w:themeColor="hyperlink"/>
      <w:u w:val="single"/>
    </w:rPr>
  </w:style>
  <w:style w:type="paragraph" w:styleId="Header">
    <w:name w:val="header"/>
    <w:basedOn w:val="Normal"/>
    <w:link w:val="HeaderChar"/>
    <w:uiPriority w:val="99"/>
    <w:unhideWhenUsed/>
    <w:rsid w:val="005B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E5"/>
  </w:style>
  <w:style w:type="paragraph" w:styleId="Footer">
    <w:name w:val="footer"/>
    <w:basedOn w:val="Normal"/>
    <w:link w:val="FooterChar"/>
    <w:uiPriority w:val="99"/>
    <w:unhideWhenUsed/>
    <w:rsid w:val="005B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E5"/>
  </w:style>
  <w:style w:type="paragraph" w:styleId="BalloonText">
    <w:name w:val="Balloon Text"/>
    <w:basedOn w:val="Normal"/>
    <w:link w:val="BalloonTextChar"/>
    <w:uiPriority w:val="99"/>
    <w:semiHidden/>
    <w:unhideWhenUsed/>
    <w:rsid w:val="005B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E5"/>
    <w:rPr>
      <w:rFonts w:ascii="Tahoma" w:hAnsi="Tahoma" w:cs="Tahoma"/>
      <w:sz w:val="16"/>
      <w:szCs w:val="16"/>
    </w:rPr>
  </w:style>
  <w:style w:type="paragraph" w:styleId="PlainText">
    <w:name w:val="Plain Text"/>
    <w:basedOn w:val="Normal"/>
    <w:link w:val="PlainTextChar"/>
    <w:uiPriority w:val="99"/>
    <w:semiHidden/>
    <w:unhideWhenUsed/>
    <w:rsid w:val="003C122D"/>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3C122D"/>
    <w:rPr>
      <w:rFonts w:ascii="Calibri" w:hAnsi="Calibri"/>
      <w:szCs w:val="21"/>
      <w:lang w:val="en-CA"/>
    </w:rPr>
  </w:style>
  <w:style w:type="character" w:styleId="FollowedHyperlink">
    <w:name w:val="FollowedHyperlink"/>
    <w:basedOn w:val="DefaultParagraphFont"/>
    <w:uiPriority w:val="99"/>
    <w:semiHidden/>
    <w:unhideWhenUsed/>
    <w:rsid w:val="003C122D"/>
    <w:rPr>
      <w:color w:val="800080" w:themeColor="followedHyperlink"/>
      <w:u w:val="single"/>
    </w:rPr>
  </w:style>
  <w:style w:type="character" w:styleId="Strong">
    <w:name w:val="Strong"/>
    <w:basedOn w:val="DefaultParagraphFont"/>
    <w:uiPriority w:val="22"/>
    <w:qFormat/>
    <w:rsid w:val="009B5BF2"/>
    <w:rPr>
      <w:b/>
      <w:bCs/>
    </w:rPr>
  </w:style>
  <w:style w:type="paragraph" w:styleId="NormalWeb">
    <w:name w:val="Normal (Web)"/>
    <w:basedOn w:val="Normal"/>
    <w:uiPriority w:val="99"/>
    <w:semiHidden/>
    <w:unhideWhenUsed/>
    <w:rsid w:val="009B5BF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3084">
      <w:bodyDiv w:val="1"/>
      <w:marLeft w:val="0"/>
      <w:marRight w:val="0"/>
      <w:marTop w:val="0"/>
      <w:marBottom w:val="0"/>
      <w:divBdr>
        <w:top w:val="none" w:sz="0" w:space="0" w:color="auto"/>
        <w:left w:val="none" w:sz="0" w:space="0" w:color="auto"/>
        <w:bottom w:val="none" w:sz="0" w:space="0" w:color="auto"/>
        <w:right w:val="none" w:sz="0" w:space="0" w:color="auto"/>
      </w:divBdr>
      <w:divsChild>
        <w:div w:id="1576358318">
          <w:marLeft w:val="0"/>
          <w:marRight w:val="0"/>
          <w:marTop w:val="0"/>
          <w:marBottom w:val="0"/>
          <w:divBdr>
            <w:top w:val="none" w:sz="0" w:space="0" w:color="auto"/>
            <w:left w:val="none" w:sz="0" w:space="0" w:color="auto"/>
            <w:bottom w:val="none" w:sz="0" w:space="0" w:color="auto"/>
            <w:right w:val="none" w:sz="0" w:space="0" w:color="auto"/>
          </w:divBdr>
          <w:divsChild>
            <w:div w:id="5731993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8551330">
      <w:bodyDiv w:val="1"/>
      <w:marLeft w:val="0"/>
      <w:marRight w:val="0"/>
      <w:marTop w:val="0"/>
      <w:marBottom w:val="0"/>
      <w:divBdr>
        <w:top w:val="none" w:sz="0" w:space="0" w:color="auto"/>
        <w:left w:val="none" w:sz="0" w:space="0" w:color="auto"/>
        <w:bottom w:val="none" w:sz="0" w:space="0" w:color="auto"/>
        <w:right w:val="none" w:sz="0" w:space="0" w:color="auto"/>
      </w:divBdr>
      <w:divsChild>
        <w:div w:id="693656678">
          <w:marLeft w:val="0"/>
          <w:marRight w:val="0"/>
          <w:marTop w:val="0"/>
          <w:marBottom w:val="0"/>
          <w:divBdr>
            <w:top w:val="none" w:sz="0" w:space="0" w:color="auto"/>
            <w:left w:val="none" w:sz="0" w:space="0" w:color="auto"/>
            <w:bottom w:val="none" w:sz="0" w:space="0" w:color="auto"/>
            <w:right w:val="none" w:sz="0" w:space="0" w:color="auto"/>
          </w:divBdr>
          <w:divsChild>
            <w:div w:id="10379758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52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teaching/assessment/assesslearning/rubrics.html" TargetMode="External"/><Relationship Id="rId13" Type="http://schemas.openxmlformats.org/officeDocument/2006/relationships/hyperlink" Target="http://www.governingcouncil.utoronto.ca/Assets/Governing+Council+Digital+Assets/Policies/PDF/ppjun01199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utoronto.ca/teaching-support/course-design/developing-a-syllabus/" TargetMode="External"/><Relationship Id="rId12" Type="http://schemas.openxmlformats.org/officeDocument/2006/relationships/hyperlink" Target="www.teaching.utoronto.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urnit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search.library.utoronto.ca/copyright/services/ztlcc" TargetMode="External"/><Relationship Id="rId5" Type="http://schemas.openxmlformats.org/officeDocument/2006/relationships/footnotes" Target="footnotes.xml"/><Relationship Id="rId15" Type="http://schemas.openxmlformats.org/officeDocument/2006/relationships/hyperlink" Target="http://studentlife.utoronto.ca/as" TargetMode="External"/><Relationship Id="rId10" Type="http://schemas.openxmlformats.org/officeDocument/2006/relationships/hyperlink" Target="http://www.fs.utoronto.ca/SustainabilityOffice/Programs/GreenCour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esearch.library.utoronto.ca/copyright/course-reserves-and-syllabus-service" TargetMode="External"/><Relationship Id="rId14" Type="http://schemas.openxmlformats.org/officeDocument/2006/relationships/hyperlink" Target="http://www.writing.utoronto.ca/advice/using-sources/how-not-to-plagia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Medicine, UofT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Fox</dc:creator>
  <cp:lastModifiedBy>Ellen Sokoloff</cp:lastModifiedBy>
  <cp:revision>3</cp:revision>
  <dcterms:created xsi:type="dcterms:W3CDTF">2017-10-19T23:08:00Z</dcterms:created>
  <dcterms:modified xsi:type="dcterms:W3CDTF">2017-10-27T19:33:00Z</dcterms:modified>
</cp:coreProperties>
</file>