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B56A2D" w14:paraId="47613252" w14:textId="77777777" w:rsidTr="00B56A2D">
        <w:tc>
          <w:tcPr>
            <w:tcW w:w="9350" w:type="dxa"/>
          </w:tcPr>
          <w:p w14:paraId="4EA4C649" w14:textId="7CE32171" w:rsidR="00A51F8D" w:rsidRPr="0015001D" w:rsidRDefault="00CD6C1A" w:rsidP="6C21595B">
            <w:pPr>
              <w:rPr>
                <w:rFonts w:asciiTheme="majorHAnsi" w:hAnsiTheme="majorHAnsi" w:cstheme="majorBidi"/>
                <w:i/>
                <w:iCs/>
                <w:color w:val="C00000"/>
                <w:lang w:val="en-CA"/>
              </w:rPr>
            </w:pPr>
            <w:r w:rsidRPr="6C21595B">
              <w:rPr>
                <w:rFonts w:asciiTheme="majorHAnsi" w:hAnsiTheme="majorHAnsi" w:cstheme="majorBidi"/>
                <w:i/>
                <w:iCs/>
                <w:color w:val="C00000"/>
                <w:lang w:val="en-CA"/>
              </w:rPr>
              <w:t xml:space="preserve">See the Centre for Teaching Support &amp; Innovation for guidance on developing a course syllabus: </w:t>
            </w:r>
            <w:hyperlink r:id="rId11">
              <w:r w:rsidR="6C21595B" w:rsidRPr="6C21595B">
                <w:rPr>
                  <w:rStyle w:val="Hyperlink"/>
                  <w:rFonts w:asciiTheme="majorHAnsi" w:hAnsiTheme="majorHAnsi" w:cstheme="majorBidi"/>
                  <w:i/>
                  <w:iCs/>
                  <w:lang w:val="en-CA"/>
                </w:rPr>
                <w:t>https://teaching.utoronto.ca/resources/developing-a-course-syllabus/</w:t>
              </w:r>
            </w:hyperlink>
          </w:p>
          <w:p w14:paraId="6C9F95F8" w14:textId="0A9217B7" w:rsidR="00A51F8D" w:rsidRPr="0015001D" w:rsidRDefault="00CD6C1A" w:rsidP="6C21595B">
            <w:pPr>
              <w:rPr>
                <w:rFonts w:asciiTheme="majorHAnsi" w:hAnsiTheme="majorHAnsi" w:cstheme="majorBidi"/>
                <w:i/>
                <w:iCs/>
                <w:color w:val="C00000"/>
                <w:lang w:val="en-CA"/>
              </w:rPr>
            </w:pPr>
            <w:r w:rsidRPr="6C21595B">
              <w:rPr>
                <w:rFonts w:asciiTheme="majorHAnsi" w:hAnsiTheme="majorHAnsi" w:cstheme="majorBidi"/>
                <w:i/>
                <w:iCs/>
                <w:color w:val="C00000"/>
                <w:lang w:val="en-CA"/>
              </w:rPr>
              <w:t xml:space="preserve"> </w:t>
            </w:r>
          </w:p>
          <w:p w14:paraId="1C8191E5" w14:textId="3E86B54A" w:rsidR="00A51F8D" w:rsidRPr="00FE18EE" w:rsidRDefault="008B3E6B" w:rsidP="6C21595B">
            <w:pPr>
              <w:rPr>
                <w:rFonts w:asciiTheme="majorHAnsi" w:hAnsiTheme="majorHAnsi" w:cstheme="majorBidi"/>
                <w:i/>
                <w:color w:val="C00000"/>
                <w:lang w:val="en-CA"/>
              </w:rPr>
            </w:pPr>
            <w:r w:rsidRPr="00496E90">
              <w:rPr>
                <w:rFonts w:asciiTheme="majorHAnsi" w:hAnsiTheme="majorHAnsi" w:cstheme="majorBidi"/>
                <w:b/>
                <w:bCs/>
                <w:i/>
                <w:color w:val="C00000"/>
                <w:lang w:val="en-CA"/>
              </w:rPr>
              <w:t>Regarding questions about Generative AI and Chat GPT</w:t>
            </w:r>
            <w:r w:rsidR="00FC33A2" w:rsidRPr="00496E90">
              <w:rPr>
                <w:rFonts w:asciiTheme="majorHAnsi" w:hAnsiTheme="majorHAnsi" w:cstheme="majorBidi"/>
                <w:b/>
                <w:bCs/>
                <w:i/>
                <w:color w:val="C00000"/>
                <w:lang w:val="en-CA"/>
              </w:rPr>
              <w:t xml:space="preserve"> in courses</w:t>
            </w:r>
            <w:r w:rsidR="008442A7" w:rsidRPr="00496E90">
              <w:rPr>
                <w:rFonts w:asciiTheme="majorHAnsi" w:hAnsiTheme="majorHAnsi" w:cstheme="majorBidi"/>
                <w:b/>
                <w:bCs/>
                <w:i/>
                <w:color w:val="C00000"/>
                <w:lang w:val="en-CA"/>
              </w:rPr>
              <w:t>:</w:t>
            </w:r>
            <w:r w:rsidR="008442A7">
              <w:rPr>
                <w:rFonts w:asciiTheme="majorHAnsi" w:hAnsiTheme="majorHAnsi" w:cstheme="majorBidi"/>
                <w:i/>
                <w:color w:val="C00000"/>
                <w:lang w:val="en-CA"/>
              </w:rPr>
              <w:t xml:space="preserve"> </w:t>
            </w:r>
            <w:r w:rsidR="00F957F2">
              <w:rPr>
                <w:rFonts w:asciiTheme="majorHAnsi" w:hAnsiTheme="majorHAnsi" w:cstheme="majorBidi"/>
                <w:i/>
                <w:color w:val="C00000"/>
                <w:lang w:val="en-CA"/>
              </w:rPr>
              <w:t>T</w:t>
            </w:r>
            <w:r w:rsidR="00B63C34" w:rsidRPr="00B63C34">
              <w:rPr>
                <w:rFonts w:asciiTheme="majorHAnsi" w:hAnsiTheme="majorHAnsi" w:cstheme="majorBidi"/>
                <w:i/>
                <w:color w:val="C00000"/>
              </w:rPr>
              <w:t xml:space="preserve">he University </w:t>
            </w:r>
            <w:r w:rsidR="00F957F2">
              <w:rPr>
                <w:rFonts w:asciiTheme="majorHAnsi" w:hAnsiTheme="majorHAnsi" w:cstheme="majorBidi"/>
                <w:i/>
                <w:color w:val="C00000"/>
              </w:rPr>
              <w:t xml:space="preserve">has </w:t>
            </w:r>
            <w:r w:rsidR="00B35906">
              <w:rPr>
                <w:rFonts w:asciiTheme="majorHAnsi" w:hAnsiTheme="majorHAnsi" w:cstheme="majorBidi"/>
                <w:i/>
                <w:color w:val="C00000"/>
              </w:rPr>
              <w:t xml:space="preserve">published </w:t>
            </w:r>
            <w:r w:rsidR="00B63C34" w:rsidRPr="00B63C34">
              <w:rPr>
                <w:rFonts w:asciiTheme="majorHAnsi" w:hAnsiTheme="majorHAnsi" w:cstheme="majorBidi"/>
                <w:i/>
                <w:color w:val="C00000"/>
              </w:rPr>
              <w:t>sample statements for instructors to include in course syllabi and course assignments to help shape the message to students about what AI technology is, or is not, allowed. These statements may be used for both graduate and undergraduate level courses. </w:t>
            </w:r>
            <w:r w:rsidR="00496E90">
              <w:rPr>
                <w:rFonts w:asciiTheme="majorHAnsi" w:hAnsiTheme="majorHAnsi" w:cstheme="majorBidi"/>
                <w:i/>
                <w:color w:val="C00000"/>
              </w:rPr>
              <w:t xml:space="preserve">Please </w:t>
            </w:r>
            <w:hyperlink r:id="rId12" w:tgtFrame="_blank" w:history="1">
              <w:r w:rsidR="00B63C34" w:rsidRPr="00B63C34">
                <w:rPr>
                  <w:rStyle w:val="Hyperlink"/>
                  <w:rFonts w:asciiTheme="majorHAnsi" w:hAnsiTheme="majorHAnsi" w:cstheme="majorBidi"/>
                  <w:i/>
                </w:rPr>
                <w:t>Download th</w:t>
              </w:r>
              <w:r w:rsidR="008D3755">
                <w:rPr>
                  <w:rStyle w:val="Hyperlink"/>
                  <w:rFonts w:asciiTheme="majorHAnsi" w:hAnsiTheme="majorHAnsi" w:cstheme="majorBidi"/>
                  <w:i/>
                </w:rPr>
                <w:t>at</w:t>
              </w:r>
              <w:r w:rsidR="00B63C34" w:rsidRPr="00B63C34">
                <w:rPr>
                  <w:rStyle w:val="Hyperlink"/>
                  <w:rFonts w:asciiTheme="majorHAnsi" w:hAnsiTheme="majorHAnsi" w:cstheme="majorBidi"/>
                  <w:i/>
                </w:rPr>
                <w:t xml:space="preserve"> document here</w:t>
              </w:r>
            </w:hyperlink>
            <w:r w:rsidR="00496E90">
              <w:rPr>
                <w:rFonts w:asciiTheme="majorHAnsi" w:hAnsiTheme="majorHAnsi" w:cstheme="majorBidi"/>
                <w:i/>
                <w:color w:val="C00000"/>
                <w:lang w:val="en-CA"/>
              </w:rPr>
              <w:t xml:space="preserve"> to ensure you are using the most current University </w:t>
            </w:r>
            <w:r w:rsidR="00041C37">
              <w:rPr>
                <w:rFonts w:asciiTheme="majorHAnsi" w:hAnsiTheme="majorHAnsi" w:cstheme="majorBidi"/>
                <w:i/>
                <w:color w:val="C00000"/>
                <w:lang w:val="en-CA"/>
              </w:rPr>
              <w:t>content.</w:t>
            </w:r>
            <w:r w:rsidR="008D3755">
              <w:rPr>
                <w:rFonts w:asciiTheme="majorHAnsi" w:hAnsiTheme="majorHAnsi" w:cstheme="majorBidi"/>
                <w:i/>
                <w:color w:val="C00000"/>
                <w:lang w:val="en-CA"/>
              </w:rPr>
              <w:t xml:space="preserve"> </w:t>
            </w:r>
            <w:r w:rsidR="008D3755" w:rsidRPr="00FE18EE">
              <w:rPr>
                <w:rFonts w:asciiTheme="majorHAnsi" w:hAnsiTheme="majorHAnsi" w:cstheme="majorBidi"/>
                <w:i/>
                <w:color w:val="C00000"/>
                <w:lang w:val="en-CA"/>
              </w:rPr>
              <w:t xml:space="preserve">Instructors can also refer to this accompanying </w:t>
            </w:r>
            <w:r w:rsidR="00FE18EE" w:rsidRPr="00FE18EE">
              <w:rPr>
                <w:rFonts w:asciiTheme="majorHAnsi" w:hAnsiTheme="majorHAnsi" w:cstheme="majorBidi"/>
                <w:i/>
                <w:color w:val="C00000"/>
                <w:lang w:val="en-CA"/>
              </w:rPr>
              <w:t xml:space="preserve">set of </w:t>
            </w:r>
            <w:hyperlink r:id="rId13" w:history="1">
              <w:r w:rsidR="008D3755" w:rsidRPr="00F66E2D">
                <w:rPr>
                  <w:rStyle w:val="Hyperlink"/>
                  <w:rFonts w:asciiTheme="majorHAnsi" w:hAnsiTheme="majorHAnsi" w:cstheme="majorBidi"/>
                  <w:i/>
                  <w:lang w:val="en-CA"/>
                </w:rPr>
                <w:t>F</w:t>
              </w:r>
              <w:r w:rsidR="00FE18EE" w:rsidRPr="00F66E2D">
                <w:rPr>
                  <w:rStyle w:val="Hyperlink"/>
                  <w:rFonts w:asciiTheme="majorHAnsi" w:hAnsiTheme="majorHAnsi" w:cstheme="majorBidi"/>
                  <w:i/>
                  <w:lang w:val="en-CA"/>
                </w:rPr>
                <w:t>requently Asked Questions</w:t>
              </w:r>
            </w:hyperlink>
            <w:r w:rsidR="008D3755" w:rsidRPr="00FE18EE">
              <w:rPr>
                <w:rFonts w:asciiTheme="majorHAnsi" w:hAnsiTheme="majorHAnsi" w:cstheme="majorBidi"/>
                <w:i/>
                <w:color w:val="C00000"/>
                <w:lang w:val="en-CA"/>
              </w:rPr>
              <w:t>.</w:t>
            </w:r>
          </w:p>
          <w:p w14:paraId="7164E990" w14:textId="2973A580" w:rsidR="00A51F8D" w:rsidRPr="0015001D" w:rsidRDefault="00A51F8D" w:rsidP="0015001D">
            <w:pPr>
              <w:rPr>
                <w:rFonts w:asciiTheme="majorHAnsi" w:hAnsiTheme="majorHAnsi" w:cstheme="majorBidi"/>
                <w:i/>
                <w:color w:val="C00000"/>
                <w:lang w:val="en-CA"/>
              </w:rPr>
            </w:pPr>
          </w:p>
        </w:tc>
      </w:tr>
    </w:tbl>
    <w:p w14:paraId="5EACB21B" w14:textId="77777777" w:rsidR="00B56A2D" w:rsidRDefault="00B56A2D" w:rsidP="00990CA0">
      <w:pPr>
        <w:rPr>
          <w:rFonts w:asciiTheme="majorHAnsi" w:hAnsiTheme="majorHAnsi" w:cstheme="majorHAnsi"/>
          <w:i/>
          <w:iCs/>
          <w:color w:val="C00000"/>
        </w:rPr>
      </w:pPr>
    </w:p>
    <w:p w14:paraId="72AF9E70" w14:textId="77777777" w:rsidR="00990CA0" w:rsidRPr="0091494E" w:rsidRDefault="00990CA0" w:rsidP="00990CA0">
      <w:pPr>
        <w:rPr>
          <w:rFonts w:asciiTheme="majorHAnsi" w:hAnsiTheme="majorHAnsi" w:cstheme="majorHAnsi"/>
        </w:rPr>
      </w:pPr>
    </w:p>
    <w:p w14:paraId="1D98008A" w14:textId="27F34BB3" w:rsidR="00990CA0" w:rsidRPr="00185A61" w:rsidRDefault="00990CA0" w:rsidP="00990CA0">
      <w:pPr>
        <w:ind w:left="360"/>
        <w:jc w:val="center"/>
        <w:rPr>
          <w:rFonts w:asciiTheme="majorHAnsi" w:hAnsiTheme="majorHAnsi" w:cstheme="majorHAnsi"/>
          <w:b/>
          <w:bCs/>
        </w:rPr>
      </w:pPr>
      <w:r w:rsidRPr="00185A61">
        <w:rPr>
          <w:rFonts w:asciiTheme="majorHAnsi" w:hAnsiTheme="majorHAnsi" w:cstheme="majorHAnsi"/>
          <w:b/>
          <w:bCs/>
        </w:rPr>
        <w:t xml:space="preserve">Course name, </w:t>
      </w:r>
      <w:r w:rsidR="006E4138" w:rsidRPr="00185A61">
        <w:rPr>
          <w:rFonts w:asciiTheme="majorHAnsi" w:hAnsiTheme="majorHAnsi" w:cstheme="majorHAnsi"/>
          <w:b/>
          <w:bCs/>
        </w:rPr>
        <w:t>number,</w:t>
      </w:r>
      <w:r w:rsidRPr="00185A61">
        <w:rPr>
          <w:rFonts w:asciiTheme="majorHAnsi" w:hAnsiTheme="majorHAnsi" w:cstheme="majorHAnsi"/>
          <w:b/>
          <w:bCs/>
        </w:rPr>
        <w:t xml:space="preserve"> and designator </w:t>
      </w:r>
    </w:p>
    <w:p w14:paraId="696A20FB" w14:textId="3BABD730" w:rsidR="00990CA0" w:rsidRPr="00185A61" w:rsidRDefault="0043163E" w:rsidP="0043163E">
      <w:pPr>
        <w:pBdr>
          <w:bottom w:val="single" w:sz="4" w:space="1" w:color="auto"/>
        </w:pBdr>
        <w:jc w:val="center"/>
        <w:rPr>
          <w:rFonts w:asciiTheme="majorHAnsi" w:hAnsiTheme="majorHAnsi" w:cstheme="majorHAnsi"/>
          <w:b/>
          <w:bCs/>
        </w:rPr>
      </w:pPr>
      <w:r w:rsidRPr="00185A61">
        <w:rPr>
          <w:rFonts w:asciiTheme="majorHAnsi" w:hAnsiTheme="majorHAnsi" w:cstheme="majorHAnsi"/>
          <w:b/>
          <w:bCs/>
        </w:rPr>
        <w:t>[</w:t>
      </w:r>
      <w:r w:rsidR="002D7FFD" w:rsidRPr="00185A61">
        <w:rPr>
          <w:rFonts w:asciiTheme="majorHAnsi" w:hAnsiTheme="majorHAnsi" w:cstheme="majorHAnsi"/>
          <w:b/>
          <w:bCs/>
        </w:rPr>
        <w:t>e.g.,</w:t>
      </w:r>
      <w:r w:rsidR="00990CA0" w:rsidRPr="00185A61">
        <w:rPr>
          <w:rFonts w:asciiTheme="majorHAnsi" w:hAnsiTheme="majorHAnsi" w:cstheme="majorHAnsi"/>
          <w:b/>
          <w:bCs/>
        </w:rPr>
        <w:t xml:space="preserve"> CHL5122H Y – Introduction to Qualitative Research</w:t>
      </w:r>
      <w:r w:rsidRPr="00185A61">
        <w:rPr>
          <w:rFonts w:asciiTheme="majorHAnsi" w:hAnsiTheme="majorHAnsi" w:cstheme="majorHAnsi"/>
          <w:b/>
          <w:bCs/>
        </w:rPr>
        <w:t>]</w:t>
      </w:r>
    </w:p>
    <w:p w14:paraId="732EC4FE" w14:textId="4A6B1904" w:rsidR="0043163E" w:rsidRPr="00185A61" w:rsidRDefault="0043163E" w:rsidP="0043163E">
      <w:pPr>
        <w:jc w:val="center"/>
        <w:rPr>
          <w:rFonts w:asciiTheme="majorHAnsi" w:hAnsiTheme="majorHAnsi" w:cstheme="majorHAnsi"/>
          <w:b/>
          <w:bCs/>
        </w:rPr>
      </w:pPr>
      <w:r w:rsidRPr="00185A61">
        <w:rPr>
          <w:rFonts w:asciiTheme="majorHAnsi" w:hAnsiTheme="majorHAnsi" w:cstheme="majorHAnsi"/>
          <w:b/>
          <w:bCs/>
        </w:rPr>
        <w:t>SYLLABUS</w:t>
      </w:r>
      <w:r w:rsidR="000B1988" w:rsidRPr="00185A61">
        <w:rPr>
          <w:rFonts w:asciiTheme="majorHAnsi" w:hAnsiTheme="majorHAnsi" w:cstheme="majorHAnsi"/>
          <w:b/>
          <w:bCs/>
        </w:rPr>
        <w:t xml:space="preserve"> – [TERM, </w:t>
      </w:r>
      <w:r w:rsidR="002D7FFD" w:rsidRPr="00185A61">
        <w:rPr>
          <w:rFonts w:asciiTheme="majorHAnsi" w:hAnsiTheme="majorHAnsi" w:cstheme="majorHAnsi"/>
          <w:b/>
          <w:bCs/>
        </w:rPr>
        <w:t>e.g.,</w:t>
      </w:r>
      <w:r w:rsidR="000B1988" w:rsidRPr="00185A61">
        <w:rPr>
          <w:rFonts w:asciiTheme="majorHAnsi" w:hAnsiTheme="majorHAnsi" w:cstheme="majorHAnsi"/>
          <w:b/>
          <w:bCs/>
        </w:rPr>
        <w:t xml:space="preserve"> Fall 202</w:t>
      </w:r>
      <w:r w:rsidR="00F4633F">
        <w:rPr>
          <w:rFonts w:asciiTheme="majorHAnsi" w:hAnsiTheme="majorHAnsi" w:cstheme="majorHAnsi"/>
          <w:b/>
          <w:bCs/>
        </w:rPr>
        <w:t>1</w:t>
      </w:r>
      <w:r w:rsidR="000B1988" w:rsidRPr="00185A61">
        <w:rPr>
          <w:rFonts w:asciiTheme="majorHAnsi" w:hAnsiTheme="majorHAnsi" w:cstheme="majorHAnsi"/>
          <w:b/>
          <w:bCs/>
        </w:rPr>
        <w:t>]</w:t>
      </w:r>
    </w:p>
    <w:p w14:paraId="76A51893" w14:textId="77777777" w:rsidR="00EB17A6" w:rsidRPr="0091494E" w:rsidRDefault="00EB17A6">
      <w:pPr>
        <w:rPr>
          <w:rFonts w:asciiTheme="majorHAnsi" w:hAnsiTheme="majorHAnsi" w:cstheme="majorHAnsi"/>
        </w:rPr>
      </w:pPr>
    </w:p>
    <w:p w14:paraId="36ACACCD" w14:textId="24B7A9D3" w:rsidR="00EB17A6" w:rsidRPr="0091494E" w:rsidRDefault="00D24965" w:rsidP="00EB17A6">
      <w:pPr>
        <w:rPr>
          <w:rFonts w:asciiTheme="majorHAnsi" w:hAnsiTheme="majorHAnsi" w:cstheme="majorHAnsi"/>
        </w:rPr>
      </w:pPr>
      <w:r w:rsidRPr="0091494E">
        <w:rPr>
          <w:rFonts w:asciiTheme="majorHAnsi" w:hAnsiTheme="majorHAnsi" w:cstheme="majorHAnsi"/>
          <w:b/>
          <w:bCs/>
        </w:rPr>
        <w:t>Contact Information</w:t>
      </w:r>
    </w:p>
    <w:p w14:paraId="7F4F284F" w14:textId="7AAF1677" w:rsidR="00990CA0" w:rsidRPr="0091494E" w:rsidRDefault="00C972C2" w:rsidP="0043163E">
      <w:pPr>
        <w:rPr>
          <w:rFonts w:asciiTheme="majorHAnsi" w:hAnsiTheme="majorHAnsi" w:cstheme="majorHAnsi"/>
          <w:i/>
          <w:iCs/>
        </w:rPr>
      </w:pPr>
      <w:r w:rsidRPr="0091494E">
        <w:rPr>
          <w:rFonts w:asciiTheme="majorHAnsi" w:hAnsiTheme="majorHAnsi" w:cstheme="majorHAnsi"/>
          <w:i/>
          <w:iCs/>
        </w:rPr>
        <w:t>[</w:t>
      </w:r>
      <w:r w:rsidR="00990CA0" w:rsidRPr="0091494E">
        <w:rPr>
          <w:rFonts w:asciiTheme="majorHAnsi" w:hAnsiTheme="majorHAnsi" w:cstheme="majorHAnsi"/>
          <w:i/>
          <w:iCs/>
        </w:rPr>
        <w:t>Instructor</w:t>
      </w:r>
      <w:r w:rsidRPr="0091494E">
        <w:rPr>
          <w:rFonts w:asciiTheme="majorHAnsi" w:hAnsiTheme="majorHAnsi" w:cstheme="majorHAnsi"/>
          <w:i/>
          <w:iCs/>
        </w:rPr>
        <w:t>/Co-Instructors and TA</w:t>
      </w:r>
      <w:r w:rsidR="00990CA0" w:rsidRPr="0091494E">
        <w:rPr>
          <w:rFonts w:asciiTheme="majorHAnsi" w:hAnsiTheme="majorHAnsi" w:cstheme="majorHAnsi"/>
          <w:i/>
          <w:iCs/>
        </w:rPr>
        <w:t xml:space="preserve"> </w:t>
      </w:r>
      <w:r w:rsidR="00EB17A6" w:rsidRPr="0091494E">
        <w:rPr>
          <w:rFonts w:asciiTheme="majorHAnsi" w:hAnsiTheme="majorHAnsi" w:cstheme="majorHAnsi"/>
          <w:i/>
          <w:iCs/>
        </w:rPr>
        <w:t>name</w:t>
      </w:r>
      <w:r w:rsidRPr="0091494E">
        <w:rPr>
          <w:rFonts w:asciiTheme="majorHAnsi" w:hAnsiTheme="majorHAnsi" w:cstheme="majorHAnsi"/>
          <w:i/>
          <w:iCs/>
        </w:rPr>
        <w:t>s and e</w:t>
      </w:r>
      <w:r w:rsidR="00990CA0" w:rsidRPr="0091494E">
        <w:rPr>
          <w:rFonts w:asciiTheme="majorHAnsi" w:hAnsiTheme="majorHAnsi" w:cstheme="majorHAnsi"/>
          <w:i/>
          <w:iCs/>
        </w:rPr>
        <w:t>mail</w:t>
      </w:r>
      <w:r w:rsidRPr="0091494E">
        <w:rPr>
          <w:rFonts w:asciiTheme="majorHAnsi" w:hAnsiTheme="majorHAnsi" w:cstheme="majorHAnsi"/>
          <w:i/>
          <w:iCs/>
        </w:rPr>
        <w:t>s.</w:t>
      </w:r>
    </w:p>
    <w:p w14:paraId="2B42461A" w14:textId="29FDBD2E" w:rsidR="00EB17A6" w:rsidRPr="0091494E" w:rsidRDefault="00990CA0" w:rsidP="0043163E">
      <w:pPr>
        <w:rPr>
          <w:rFonts w:asciiTheme="majorHAnsi" w:hAnsiTheme="majorHAnsi" w:cstheme="majorHAnsi"/>
          <w:i/>
          <w:iCs/>
        </w:rPr>
      </w:pPr>
      <w:r w:rsidRPr="0091494E">
        <w:rPr>
          <w:rFonts w:asciiTheme="majorHAnsi" w:hAnsiTheme="majorHAnsi" w:cstheme="majorHAnsi"/>
          <w:i/>
          <w:iCs/>
        </w:rPr>
        <w:t>Describe instructor’s individual practice</w:t>
      </w:r>
      <w:r w:rsidR="005615CB" w:rsidRPr="0091494E">
        <w:rPr>
          <w:rFonts w:asciiTheme="majorHAnsi" w:hAnsiTheme="majorHAnsi" w:cstheme="majorHAnsi"/>
          <w:i/>
          <w:iCs/>
        </w:rPr>
        <w:t xml:space="preserve"> for responding to student queries (business hours, how many days to responded, preferred method of contact)</w:t>
      </w:r>
      <w:r w:rsidR="00C972C2" w:rsidRPr="0091494E">
        <w:rPr>
          <w:rFonts w:asciiTheme="majorHAnsi" w:hAnsiTheme="majorHAnsi" w:cstheme="majorHAnsi"/>
          <w:i/>
          <w:iCs/>
        </w:rPr>
        <w:t>]</w:t>
      </w:r>
    </w:p>
    <w:p w14:paraId="50E6A9AF" w14:textId="6032926D" w:rsidR="00F746A6" w:rsidRPr="0091494E" w:rsidRDefault="00F746A6" w:rsidP="004B6F0D">
      <w:pPr>
        <w:rPr>
          <w:rFonts w:asciiTheme="majorHAnsi" w:hAnsiTheme="majorHAnsi" w:cstheme="majorHAnsi"/>
        </w:rPr>
      </w:pPr>
    </w:p>
    <w:p w14:paraId="232D7350" w14:textId="3E4F1395" w:rsidR="004B6F0D" w:rsidRPr="0091494E" w:rsidRDefault="004B6F0D" w:rsidP="004B6F0D">
      <w:pPr>
        <w:rPr>
          <w:rFonts w:asciiTheme="majorHAnsi" w:hAnsiTheme="majorHAnsi" w:cstheme="majorHAnsi"/>
          <w:b/>
          <w:bCs/>
        </w:rPr>
      </w:pPr>
      <w:r w:rsidRPr="0091494E">
        <w:rPr>
          <w:rFonts w:asciiTheme="majorHAnsi" w:hAnsiTheme="majorHAnsi" w:cstheme="majorHAnsi"/>
          <w:b/>
          <w:bCs/>
        </w:rPr>
        <w:t xml:space="preserve">Course </w:t>
      </w:r>
      <w:r w:rsidR="00C972C2" w:rsidRPr="0091494E">
        <w:rPr>
          <w:rFonts w:asciiTheme="majorHAnsi" w:hAnsiTheme="majorHAnsi" w:cstheme="majorHAnsi"/>
          <w:b/>
          <w:bCs/>
        </w:rPr>
        <w:t>Meeting Information</w:t>
      </w:r>
    </w:p>
    <w:p w14:paraId="7340B747" w14:textId="51D75B95" w:rsidR="004B6F0D" w:rsidRDefault="004B6F0D" w:rsidP="004B6F0D">
      <w:pPr>
        <w:rPr>
          <w:rFonts w:asciiTheme="majorHAnsi" w:hAnsiTheme="majorHAnsi" w:cstheme="majorHAnsi"/>
          <w:i/>
          <w:iCs/>
        </w:rPr>
      </w:pPr>
      <w:r w:rsidRPr="0091494E">
        <w:rPr>
          <w:rFonts w:asciiTheme="majorHAnsi" w:hAnsiTheme="majorHAnsi" w:cstheme="majorHAnsi"/>
          <w:i/>
          <w:iCs/>
        </w:rPr>
        <w:t>[</w:t>
      </w:r>
      <w:r w:rsidR="00C972C2" w:rsidRPr="0091494E">
        <w:rPr>
          <w:rFonts w:asciiTheme="majorHAnsi" w:hAnsiTheme="majorHAnsi" w:cstheme="majorHAnsi"/>
          <w:i/>
          <w:iCs/>
        </w:rPr>
        <w:t>Provide m</w:t>
      </w:r>
      <w:r w:rsidRPr="0091494E">
        <w:rPr>
          <w:rFonts w:asciiTheme="majorHAnsi" w:hAnsiTheme="majorHAnsi" w:cstheme="majorHAnsi"/>
          <w:i/>
          <w:iCs/>
        </w:rPr>
        <w:t xml:space="preserve">eeting </w:t>
      </w:r>
      <w:r w:rsidR="00185A61">
        <w:rPr>
          <w:rFonts w:asciiTheme="majorHAnsi" w:hAnsiTheme="majorHAnsi" w:cstheme="majorHAnsi"/>
          <w:i/>
          <w:iCs/>
        </w:rPr>
        <w:t>i</w:t>
      </w:r>
      <w:r w:rsidRPr="0091494E">
        <w:rPr>
          <w:rFonts w:asciiTheme="majorHAnsi" w:hAnsiTheme="majorHAnsi" w:cstheme="majorHAnsi"/>
          <w:i/>
          <w:iCs/>
        </w:rPr>
        <w:t>nformation, including:</w:t>
      </w:r>
    </w:p>
    <w:p w14:paraId="4DE14D01" w14:textId="728F87AB" w:rsidR="00185A61" w:rsidRPr="00185A61" w:rsidRDefault="00185A61" w:rsidP="00185A61">
      <w:pPr>
        <w:pStyle w:val="ListParagraph"/>
        <w:numPr>
          <w:ilvl w:val="0"/>
          <w:numId w:val="10"/>
        </w:numPr>
        <w:rPr>
          <w:rFonts w:asciiTheme="majorHAnsi" w:hAnsiTheme="majorHAnsi" w:cstheme="majorHAnsi"/>
          <w:i/>
          <w:iCs/>
        </w:rPr>
      </w:pPr>
      <w:r>
        <w:rPr>
          <w:rFonts w:asciiTheme="majorHAnsi" w:hAnsiTheme="majorHAnsi" w:cstheme="majorHAnsi"/>
          <w:i/>
          <w:iCs/>
        </w:rPr>
        <w:t>When In-Person Delivery: Day, time, building and room</w:t>
      </w:r>
    </w:p>
    <w:p w14:paraId="47AEF5C7" w14:textId="77777777" w:rsidR="00185A61" w:rsidRDefault="00185A61" w:rsidP="004B6F0D">
      <w:pPr>
        <w:pStyle w:val="ListParagraph"/>
        <w:numPr>
          <w:ilvl w:val="0"/>
          <w:numId w:val="10"/>
        </w:numPr>
        <w:rPr>
          <w:rFonts w:asciiTheme="majorHAnsi" w:hAnsiTheme="majorHAnsi" w:cstheme="majorHAnsi"/>
          <w:i/>
          <w:iCs/>
        </w:rPr>
      </w:pPr>
      <w:r>
        <w:rPr>
          <w:rFonts w:asciiTheme="majorHAnsi" w:hAnsiTheme="majorHAnsi" w:cstheme="majorHAnsi"/>
          <w:i/>
          <w:iCs/>
        </w:rPr>
        <w:t xml:space="preserve">When Remote Delivery: </w:t>
      </w:r>
    </w:p>
    <w:p w14:paraId="3A0E2D41" w14:textId="6DC0F783" w:rsidR="004B6F0D" w:rsidRPr="0091494E" w:rsidRDefault="00185A61" w:rsidP="00185A61">
      <w:pPr>
        <w:pStyle w:val="ListParagraph"/>
        <w:numPr>
          <w:ilvl w:val="1"/>
          <w:numId w:val="10"/>
        </w:numPr>
        <w:rPr>
          <w:rFonts w:asciiTheme="majorHAnsi" w:hAnsiTheme="majorHAnsi" w:cstheme="majorHAnsi"/>
          <w:i/>
          <w:iCs/>
        </w:rPr>
      </w:pPr>
      <w:r>
        <w:rPr>
          <w:rFonts w:asciiTheme="majorHAnsi" w:hAnsiTheme="majorHAnsi" w:cstheme="majorHAnsi"/>
          <w:i/>
          <w:iCs/>
        </w:rPr>
        <w:t>S</w:t>
      </w:r>
      <w:r w:rsidR="004B6F0D" w:rsidRPr="0091494E">
        <w:rPr>
          <w:rFonts w:asciiTheme="majorHAnsi" w:hAnsiTheme="majorHAnsi" w:cstheme="majorHAnsi"/>
          <w:i/>
          <w:iCs/>
        </w:rPr>
        <w:t>ynchronous meeting</w:t>
      </w:r>
      <w:r>
        <w:rPr>
          <w:rFonts w:asciiTheme="majorHAnsi" w:hAnsiTheme="majorHAnsi" w:cstheme="majorHAnsi"/>
          <w:i/>
          <w:iCs/>
        </w:rPr>
        <w:t xml:space="preserve"> day,</w:t>
      </w:r>
      <w:r w:rsidR="004B6F0D" w:rsidRPr="0091494E">
        <w:rPr>
          <w:rFonts w:asciiTheme="majorHAnsi" w:hAnsiTheme="majorHAnsi" w:cstheme="majorHAnsi"/>
          <w:i/>
          <w:iCs/>
        </w:rPr>
        <w:t xml:space="preserve"> time</w:t>
      </w:r>
      <w:r>
        <w:rPr>
          <w:rFonts w:asciiTheme="majorHAnsi" w:hAnsiTheme="majorHAnsi" w:cstheme="majorHAnsi"/>
          <w:i/>
          <w:iCs/>
        </w:rPr>
        <w:t>,</w:t>
      </w:r>
      <w:r w:rsidR="004B6F0D" w:rsidRPr="0091494E">
        <w:rPr>
          <w:rFonts w:asciiTheme="majorHAnsi" w:hAnsiTheme="majorHAnsi" w:cstheme="majorHAnsi"/>
          <w:i/>
          <w:iCs/>
        </w:rPr>
        <w:t xml:space="preserve"> and modality (</w:t>
      </w:r>
      <w:r w:rsidR="002D7FFD" w:rsidRPr="0091494E">
        <w:rPr>
          <w:rFonts w:asciiTheme="majorHAnsi" w:hAnsiTheme="majorHAnsi" w:cstheme="majorHAnsi"/>
          <w:i/>
          <w:iCs/>
        </w:rPr>
        <w:t>e.g.,</w:t>
      </w:r>
      <w:r w:rsidR="004B6F0D" w:rsidRPr="0091494E">
        <w:rPr>
          <w:rFonts w:asciiTheme="majorHAnsi" w:hAnsiTheme="majorHAnsi" w:cstheme="majorHAnsi"/>
          <w:i/>
          <w:iCs/>
        </w:rPr>
        <w:t xml:space="preserve"> Zoom</w:t>
      </w:r>
      <w:r>
        <w:rPr>
          <w:rFonts w:asciiTheme="majorHAnsi" w:hAnsiTheme="majorHAnsi" w:cstheme="majorHAnsi"/>
          <w:i/>
          <w:iCs/>
        </w:rPr>
        <w:t>, Teams</w:t>
      </w:r>
      <w:r w:rsidR="004B6F0D" w:rsidRPr="0091494E">
        <w:rPr>
          <w:rFonts w:asciiTheme="majorHAnsi" w:hAnsiTheme="majorHAnsi" w:cstheme="majorHAnsi"/>
          <w:i/>
          <w:iCs/>
        </w:rPr>
        <w:t>)</w:t>
      </w:r>
    </w:p>
    <w:p w14:paraId="70996CD3" w14:textId="036EA41C" w:rsidR="004B6F0D" w:rsidRPr="0091494E" w:rsidRDefault="00185A61" w:rsidP="00185A61">
      <w:pPr>
        <w:pStyle w:val="ListParagraph"/>
        <w:numPr>
          <w:ilvl w:val="1"/>
          <w:numId w:val="10"/>
        </w:numPr>
        <w:rPr>
          <w:rFonts w:asciiTheme="majorHAnsi" w:hAnsiTheme="majorHAnsi" w:cstheme="majorHAnsi"/>
          <w:i/>
          <w:iCs/>
        </w:rPr>
      </w:pPr>
      <w:r>
        <w:rPr>
          <w:rFonts w:asciiTheme="majorHAnsi" w:hAnsiTheme="majorHAnsi" w:cstheme="majorHAnsi"/>
          <w:i/>
          <w:iCs/>
        </w:rPr>
        <w:t>A</w:t>
      </w:r>
      <w:r w:rsidR="004B6F0D" w:rsidRPr="0091494E">
        <w:rPr>
          <w:rFonts w:asciiTheme="majorHAnsi" w:hAnsiTheme="majorHAnsi" w:cstheme="majorHAnsi"/>
          <w:i/>
          <w:iCs/>
        </w:rPr>
        <w:t>synchronous activit</w:t>
      </w:r>
      <w:r>
        <w:rPr>
          <w:rFonts w:asciiTheme="majorHAnsi" w:hAnsiTheme="majorHAnsi" w:cstheme="majorHAnsi"/>
          <w:i/>
          <w:iCs/>
        </w:rPr>
        <w:t>y expectations</w:t>
      </w:r>
      <w:r w:rsidR="004B6F0D" w:rsidRPr="0091494E">
        <w:rPr>
          <w:rFonts w:asciiTheme="majorHAnsi" w:hAnsiTheme="majorHAnsi" w:cstheme="majorHAnsi"/>
          <w:i/>
          <w:iCs/>
        </w:rPr>
        <w:t>]</w:t>
      </w:r>
    </w:p>
    <w:p w14:paraId="6D1FD7E9" w14:textId="4C3F89AD" w:rsidR="004B6F0D" w:rsidRDefault="004B6F0D" w:rsidP="004B6F0D">
      <w:pPr>
        <w:rPr>
          <w:rFonts w:asciiTheme="majorHAnsi" w:hAnsiTheme="majorHAnsi" w:cstheme="majorHAnsi"/>
        </w:rPr>
      </w:pPr>
    </w:p>
    <w:p w14:paraId="36C56F51" w14:textId="77777777" w:rsidR="00DF092D" w:rsidRPr="0091494E" w:rsidRDefault="00DF092D" w:rsidP="00DF092D">
      <w:pPr>
        <w:pStyle w:val="xmsonormal"/>
        <w:shd w:val="clear" w:color="auto" w:fill="FFFFFF"/>
        <w:spacing w:before="0" w:beforeAutospacing="0" w:after="0" w:afterAutospacing="0"/>
        <w:rPr>
          <w:rFonts w:asciiTheme="majorHAnsi" w:hAnsiTheme="majorHAnsi" w:cstheme="majorHAnsi"/>
          <w:b/>
          <w:iCs/>
          <w:color w:val="212121"/>
        </w:rPr>
      </w:pPr>
      <w:r w:rsidRPr="0091494E">
        <w:rPr>
          <w:rFonts w:asciiTheme="majorHAnsi" w:hAnsiTheme="majorHAnsi" w:cstheme="majorHAnsi"/>
          <w:b/>
          <w:iCs/>
          <w:color w:val="000000"/>
        </w:rPr>
        <w:t>Acknowledgment of Territory</w:t>
      </w:r>
    </w:p>
    <w:p w14:paraId="2B345612" w14:textId="25767F27" w:rsidR="00347336" w:rsidRPr="0043163E" w:rsidRDefault="00347336" w:rsidP="00DF092D">
      <w:pPr>
        <w:rPr>
          <w:rFonts w:asciiTheme="majorHAnsi" w:eastAsia="Times New Roman" w:hAnsiTheme="majorHAnsi" w:cstheme="majorHAnsi"/>
          <w:lang w:val="en-CA"/>
        </w:rPr>
      </w:pPr>
      <w:r>
        <w:rPr>
          <w:rFonts w:asciiTheme="majorHAnsi" w:eastAsia="Times New Roman" w:hAnsiTheme="majorHAnsi" w:cstheme="majorHAnsi"/>
          <w:lang w:val="en-CA"/>
        </w:rPr>
        <w:t>W</w:t>
      </w:r>
      <w:r w:rsidRPr="00347336">
        <w:rPr>
          <w:rFonts w:asciiTheme="majorHAnsi" w:eastAsia="Times New Roman" w:hAnsiTheme="majorHAnsi" w:cstheme="majorHAnsi"/>
          <w:lang w:val="en-CA"/>
        </w:rPr>
        <w:t>e wish to acknowledge this land on which the University of Toronto operates. For thousands of years</w:t>
      </w:r>
      <w:r w:rsidR="00C95A06">
        <w:rPr>
          <w:rFonts w:asciiTheme="majorHAnsi" w:eastAsia="Times New Roman" w:hAnsiTheme="majorHAnsi" w:cstheme="majorHAnsi"/>
          <w:lang w:val="en-CA"/>
        </w:rPr>
        <w:t>,</w:t>
      </w:r>
      <w:r w:rsidRPr="00347336">
        <w:rPr>
          <w:rFonts w:asciiTheme="majorHAnsi" w:eastAsia="Times New Roman" w:hAnsiTheme="majorHAnsi" w:cstheme="majorHAnsi"/>
          <w:lang w:val="en-CA"/>
        </w:rPr>
        <w:t xml:space="preserve"> it has been the traditional land of the Huron-Wendat, the Seneca, and the Mississaugas of the Credit. Today, this meeting place is still the home to many Indigenous people from across Turtle Island and we are grateful to have the opportunity to work on this land.</w:t>
      </w:r>
    </w:p>
    <w:p w14:paraId="3C918C70" w14:textId="77777777" w:rsidR="00DF092D" w:rsidRPr="0091494E" w:rsidRDefault="00DF092D" w:rsidP="004B6F0D">
      <w:pPr>
        <w:rPr>
          <w:rFonts w:asciiTheme="majorHAnsi" w:hAnsiTheme="majorHAnsi" w:cstheme="majorHAnsi"/>
        </w:rPr>
      </w:pPr>
    </w:p>
    <w:p w14:paraId="20A32AE2" w14:textId="6BFE5921" w:rsidR="00C972C2" w:rsidRPr="0091494E" w:rsidRDefault="0043163E" w:rsidP="004B6F0D">
      <w:pPr>
        <w:rPr>
          <w:rFonts w:asciiTheme="majorHAnsi" w:hAnsiTheme="majorHAnsi" w:cstheme="majorHAnsi"/>
        </w:rPr>
      </w:pPr>
      <w:r w:rsidRPr="0091494E">
        <w:rPr>
          <w:rFonts w:asciiTheme="majorHAnsi" w:hAnsiTheme="majorHAnsi" w:cstheme="majorHAnsi"/>
          <w:b/>
          <w:bCs/>
        </w:rPr>
        <w:t>Prerequisites:</w:t>
      </w:r>
      <w:r w:rsidRPr="0091494E">
        <w:rPr>
          <w:rFonts w:asciiTheme="majorHAnsi" w:hAnsiTheme="majorHAnsi" w:cstheme="majorHAnsi"/>
        </w:rPr>
        <w:t xml:space="preserve">  </w:t>
      </w:r>
    </w:p>
    <w:p w14:paraId="1D9F7F87" w14:textId="72CF5AFA" w:rsidR="00C972C2" w:rsidRPr="0091494E" w:rsidRDefault="00C972C2" w:rsidP="004B6F0D">
      <w:pPr>
        <w:rPr>
          <w:rFonts w:asciiTheme="majorHAnsi" w:hAnsiTheme="majorHAnsi" w:cstheme="majorHAnsi"/>
          <w:i/>
          <w:iCs/>
        </w:rPr>
      </w:pPr>
      <w:r w:rsidRPr="0091494E">
        <w:rPr>
          <w:rFonts w:asciiTheme="majorHAnsi" w:hAnsiTheme="majorHAnsi" w:cstheme="majorHAnsi"/>
          <w:i/>
          <w:iCs/>
        </w:rPr>
        <w:t>[Provide the pre-existing conditions required to participate in the course.</w:t>
      </w:r>
    </w:p>
    <w:p w14:paraId="3D29081E" w14:textId="17E21458" w:rsidR="0043163E" w:rsidRPr="0091494E" w:rsidRDefault="0043163E" w:rsidP="004B6F0D">
      <w:pPr>
        <w:rPr>
          <w:rFonts w:asciiTheme="majorHAnsi" w:hAnsiTheme="majorHAnsi" w:cstheme="majorHAnsi"/>
          <w:i/>
          <w:iCs/>
        </w:rPr>
      </w:pPr>
      <w:r w:rsidRPr="0091494E">
        <w:rPr>
          <w:rFonts w:asciiTheme="majorHAnsi" w:hAnsiTheme="majorHAnsi" w:cstheme="majorHAnsi"/>
          <w:i/>
          <w:iCs/>
        </w:rPr>
        <w:t>Example …This course is intended for students in the 2</w:t>
      </w:r>
      <w:r w:rsidRPr="0091494E">
        <w:rPr>
          <w:rFonts w:asciiTheme="majorHAnsi" w:hAnsiTheme="majorHAnsi" w:cstheme="majorHAnsi"/>
          <w:i/>
          <w:iCs/>
          <w:vertAlign w:val="superscript"/>
        </w:rPr>
        <w:t>nd</w:t>
      </w:r>
      <w:r w:rsidRPr="0091494E">
        <w:rPr>
          <w:rFonts w:asciiTheme="majorHAnsi" w:hAnsiTheme="majorHAnsi" w:cstheme="majorHAnsi"/>
          <w:i/>
          <w:iCs/>
        </w:rPr>
        <w:t xml:space="preserve"> year of the Master’s program or any year of the PhD program. Students must have, or be concurrently taking, a graduate level course in either quantitative methods (e.g., CHL5201 or equivalent) or qualitative methods (e.g., CHL5221, JRP1000 or equivalent). The course is designed for students who have a foundation in one strand of research (qualitative or quantitative), in order that they can focus their learning on developing a foundation in the other strand and understanding how the strands can be mixed. The course is not recommended for students who do not already have a foundation in either quantitative or qualitative methods.]</w:t>
      </w:r>
    </w:p>
    <w:p w14:paraId="3D3E670D" w14:textId="77777777" w:rsidR="0043163E" w:rsidRPr="0091494E" w:rsidRDefault="0043163E" w:rsidP="004B6F0D">
      <w:pPr>
        <w:rPr>
          <w:rFonts w:asciiTheme="majorHAnsi" w:hAnsiTheme="majorHAnsi" w:cstheme="majorHAnsi"/>
        </w:rPr>
      </w:pPr>
    </w:p>
    <w:p w14:paraId="09892EDA" w14:textId="77777777" w:rsidR="00EB17A6" w:rsidRPr="0091494E" w:rsidRDefault="00EB17A6" w:rsidP="00EB17A6">
      <w:pPr>
        <w:rPr>
          <w:rFonts w:asciiTheme="majorHAnsi" w:hAnsiTheme="majorHAnsi" w:cstheme="majorHAnsi"/>
        </w:rPr>
      </w:pPr>
      <w:r w:rsidRPr="0091494E">
        <w:rPr>
          <w:rFonts w:asciiTheme="majorHAnsi" w:hAnsiTheme="majorHAnsi" w:cstheme="majorHAnsi"/>
          <w:b/>
          <w:bCs/>
        </w:rPr>
        <w:t>Course description</w:t>
      </w:r>
    </w:p>
    <w:p w14:paraId="6ED720CF" w14:textId="1D3635C7" w:rsidR="00EB17A6" w:rsidRPr="0091494E" w:rsidRDefault="00C972C2" w:rsidP="00C972C2">
      <w:pPr>
        <w:rPr>
          <w:rFonts w:asciiTheme="majorHAnsi" w:hAnsiTheme="majorHAnsi" w:cstheme="majorHAnsi"/>
          <w:i/>
          <w:iCs/>
        </w:rPr>
      </w:pPr>
      <w:r w:rsidRPr="0091494E">
        <w:rPr>
          <w:rFonts w:asciiTheme="majorHAnsi" w:hAnsiTheme="majorHAnsi" w:cstheme="majorHAnsi"/>
          <w:i/>
          <w:iCs/>
        </w:rPr>
        <w:t>[</w:t>
      </w:r>
      <w:r w:rsidR="00EB17A6" w:rsidRPr="0091494E">
        <w:rPr>
          <w:rFonts w:asciiTheme="majorHAnsi" w:hAnsiTheme="majorHAnsi" w:cstheme="majorHAnsi"/>
          <w:i/>
          <w:iCs/>
        </w:rPr>
        <w:t xml:space="preserve">A brief paragraph describing the </w:t>
      </w:r>
      <w:r w:rsidRPr="0091494E">
        <w:rPr>
          <w:rFonts w:asciiTheme="majorHAnsi" w:hAnsiTheme="majorHAnsi" w:cstheme="majorHAnsi"/>
          <w:i/>
          <w:iCs/>
        </w:rPr>
        <w:t>purpose, learning objectives,</w:t>
      </w:r>
      <w:r w:rsidR="00EB17A6" w:rsidRPr="0091494E">
        <w:rPr>
          <w:rFonts w:asciiTheme="majorHAnsi" w:hAnsiTheme="majorHAnsi" w:cstheme="majorHAnsi"/>
          <w:i/>
          <w:iCs/>
        </w:rPr>
        <w:t xml:space="preserve"> and goals of the course</w:t>
      </w:r>
      <w:r w:rsidRPr="0091494E">
        <w:rPr>
          <w:rFonts w:asciiTheme="majorHAnsi" w:hAnsiTheme="majorHAnsi" w:cstheme="majorHAnsi"/>
          <w:i/>
          <w:iCs/>
        </w:rPr>
        <w:t>]</w:t>
      </w:r>
    </w:p>
    <w:p w14:paraId="622C7799" w14:textId="77777777" w:rsidR="00C31EC4" w:rsidRPr="0091494E" w:rsidRDefault="00C31EC4" w:rsidP="00C972C2">
      <w:pPr>
        <w:rPr>
          <w:rFonts w:asciiTheme="majorHAnsi" w:hAnsiTheme="majorHAnsi" w:cstheme="majorHAnsi"/>
        </w:rPr>
      </w:pPr>
    </w:p>
    <w:p w14:paraId="5C1790A2" w14:textId="7A463395" w:rsidR="000E5839" w:rsidRDefault="000E5839" w:rsidP="00EB17A6">
      <w:pPr>
        <w:rPr>
          <w:rFonts w:asciiTheme="majorHAnsi" w:hAnsiTheme="majorHAnsi" w:cstheme="majorHAnsi"/>
          <w:b/>
          <w:bCs/>
        </w:rPr>
      </w:pPr>
      <w:r>
        <w:rPr>
          <w:rFonts w:asciiTheme="majorHAnsi" w:hAnsiTheme="majorHAnsi" w:cstheme="majorHAnsi"/>
          <w:b/>
          <w:bCs/>
        </w:rPr>
        <w:t>Learning Outcomes</w:t>
      </w:r>
    </w:p>
    <w:p w14:paraId="7235D70F" w14:textId="35760D83" w:rsidR="000E5839" w:rsidRPr="000E5839" w:rsidRDefault="000E5839" w:rsidP="00EB17A6">
      <w:pPr>
        <w:rPr>
          <w:rFonts w:asciiTheme="majorHAnsi" w:hAnsiTheme="majorHAnsi" w:cstheme="majorHAnsi"/>
        </w:rPr>
      </w:pPr>
      <w:r w:rsidRPr="000E5839">
        <w:rPr>
          <w:rFonts w:asciiTheme="majorHAnsi" w:hAnsiTheme="majorHAnsi" w:cstheme="majorHAnsi"/>
        </w:rPr>
        <w:t xml:space="preserve">[Include a description of </w:t>
      </w:r>
      <w:r>
        <w:rPr>
          <w:rFonts w:asciiTheme="majorHAnsi" w:hAnsiTheme="majorHAnsi" w:cstheme="majorHAnsi"/>
        </w:rPr>
        <w:t xml:space="preserve">learning outcomes that student should achieve through the course.  See CTSI resources on developing learning outcomes here </w:t>
      </w:r>
      <w:hyperlink r:id="rId14" w:history="1">
        <w:r w:rsidRPr="006B69CE">
          <w:rPr>
            <w:rStyle w:val="Hyperlink"/>
            <w:rFonts w:asciiTheme="majorHAnsi" w:hAnsiTheme="majorHAnsi" w:cstheme="majorHAnsi"/>
          </w:rPr>
          <w:t>https://teaching.utoronto.ca/resources/dlo/</w:t>
        </w:r>
      </w:hyperlink>
      <w:r>
        <w:rPr>
          <w:rFonts w:asciiTheme="majorHAnsi" w:hAnsiTheme="majorHAnsi" w:cstheme="majorHAnsi"/>
        </w:rPr>
        <w:t xml:space="preserve">] </w:t>
      </w:r>
    </w:p>
    <w:p w14:paraId="4CEB3DBA" w14:textId="77777777" w:rsidR="000E5839" w:rsidRDefault="000E5839" w:rsidP="00EB17A6">
      <w:pPr>
        <w:rPr>
          <w:rFonts w:asciiTheme="majorHAnsi" w:hAnsiTheme="majorHAnsi" w:cstheme="majorHAnsi"/>
          <w:b/>
          <w:bCs/>
        </w:rPr>
      </w:pPr>
    </w:p>
    <w:p w14:paraId="648E2B71" w14:textId="78331E1F" w:rsidR="00C972C2" w:rsidRPr="0091494E" w:rsidRDefault="00C972C2" w:rsidP="00EB17A6">
      <w:pPr>
        <w:rPr>
          <w:rFonts w:asciiTheme="majorHAnsi" w:hAnsiTheme="majorHAnsi" w:cstheme="majorHAnsi"/>
          <w:b/>
          <w:bCs/>
        </w:rPr>
      </w:pPr>
      <w:r w:rsidRPr="0091494E">
        <w:rPr>
          <w:rFonts w:asciiTheme="majorHAnsi" w:hAnsiTheme="majorHAnsi" w:cstheme="majorHAnsi"/>
          <w:b/>
          <w:bCs/>
        </w:rPr>
        <w:t>Evaluation</w:t>
      </w:r>
    </w:p>
    <w:p w14:paraId="512E3B70" w14:textId="1281CEFA" w:rsidR="00EB17A6" w:rsidRPr="0091494E" w:rsidRDefault="00C972C2" w:rsidP="00EB17A6">
      <w:pPr>
        <w:rPr>
          <w:rFonts w:asciiTheme="majorHAnsi" w:hAnsiTheme="majorHAnsi" w:cstheme="majorHAnsi"/>
          <w:i/>
          <w:iCs/>
        </w:rPr>
      </w:pPr>
      <w:r w:rsidRPr="0091494E">
        <w:rPr>
          <w:rFonts w:asciiTheme="majorHAnsi" w:hAnsiTheme="majorHAnsi" w:cstheme="majorHAnsi"/>
          <w:i/>
          <w:iCs/>
        </w:rPr>
        <w:t>[</w:t>
      </w:r>
      <w:r w:rsidR="00D24965" w:rsidRPr="0091494E">
        <w:rPr>
          <w:rFonts w:asciiTheme="majorHAnsi" w:hAnsiTheme="majorHAnsi" w:cstheme="majorHAnsi"/>
          <w:i/>
          <w:iCs/>
        </w:rPr>
        <w:t>Provide</w:t>
      </w:r>
      <w:r w:rsidR="00EB17A6" w:rsidRPr="0091494E">
        <w:rPr>
          <w:rFonts w:asciiTheme="majorHAnsi" w:hAnsiTheme="majorHAnsi" w:cstheme="majorHAnsi"/>
          <w:i/>
          <w:iCs/>
        </w:rPr>
        <w:t xml:space="preserve"> a clear breakdown of the work required in the course, including due dates and assignment weights.  In addition, provide an overview of each assignment and its assessment criteria. (</w:t>
      </w:r>
      <w:r w:rsidR="00D24965" w:rsidRPr="0091494E">
        <w:rPr>
          <w:rFonts w:asciiTheme="majorHAnsi" w:hAnsiTheme="majorHAnsi" w:cstheme="majorHAnsi"/>
          <w:i/>
          <w:iCs/>
        </w:rPr>
        <w:t>Deta</w:t>
      </w:r>
      <w:r w:rsidR="005615CB" w:rsidRPr="0091494E">
        <w:rPr>
          <w:rFonts w:asciiTheme="majorHAnsi" w:hAnsiTheme="majorHAnsi" w:cstheme="majorHAnsi"/>
          <w:i/>
          <w:iCs/>
        </w:rPr>
        <w:t>i</w:t>
      </w:r>
      <w:r w:rsidR="00D24965" w:rsidRPr="0091494E">
        <w:rPr>
          <w:rFonts w:asciiTheme="majorHAnsi" w:hAnsiTheme="majorHAnsi" w:cstheme="majorHAnsi"/>
          <w:i/>
          <w:iCs/>
        </w:rPr>
        <w:t>led</w:t>
      </w:r>
      <w:r w:rsidR="00EB17A6" w:rsidRPr="0091494E">
        <w:rPr>
          <w:rFonts w:asciiTheme="majorHAnsi" w:hAnsiTheme="majorHAnsi" w:cstheme="majorHAnsi"/>
          <w:i/>
          <w:iCs/>
        </w:rPr>
        <w:t xml:space="preserve"> information can be included in the course syllabi or provided </w:t>
      </w:r>
      <w:r w:rsidR="00D24965" w:rsidRPr="0091494E">
        <w:rPr>
          <w:rFonts w:asciiTheme="majorHAnsi" w:hAnsiTheme="majorHAnsi" w:cstheme="majorHAnsi"/>
          <w:i/>
          <w:iCs/>
        </w:rPr>
        <w:t>as an appendix or separate document</w:t>
      </w:r>
      <w:r w:rsidR="000B1988" w:rsidRPr="0091494E">
        <w:rPr>
          <w:rFonts w:asciiTheme="majorHAnsi" w:hAnsiTheme="majorHAnsi" w:cstheme="majorHAnsi"/>
          <w:i/>
          <w:iCs/>
        </w:rPr>
        <w:t xml:space="preserve">, </w:t>
      </w:r>
      <w:r w:rsidR="008C5741" w:rsidRPr="0091494E">
        <w:rPr>
          <w:rFonts w:asciiTheme="majorHAnsi" w:hAnsiTheme="majorHAnsi" w:cstheme="majorHAnsi"/>
          <w:i/>
          <w:iCs/>
        </w:rPr>
        <w:t>e.g.,</w:t>
      </w:r>
      <w:r w:rsidR="000B1988" w:rsidRPr="0091494E">
        <w:rPr>
          <w:rFonts w:asciiTheme="majorHAnsi" w:hAnsiTheme="majorHAnsi" w:cstheme="majorHAnsi"/>
          <w:i/>
          <w:iCs/>
        </w:rPr>
        <w:t xml:space="preserve"> “Additional information about each assignment (including grading rubrics) will be posted on Quercus.”</w:t>
      </w:r>
      <w:r w:rsidR="00EB17A6" w:rsidRPr="0091494E">
        <w:rPr>
          <w:rFonts w:asciiTheme="majorHAnsi" w:hAnsiTheme="majorHAnsi" w:cstheme="majorHAnsi"/>
          <w:i/>
          <w:iCs/>
        </w:rPr>
        <w:t>.)</w:t>
      </w:r>
      <w:r w:rsidRPr="0091494E">
        <w:rPr>
          <w:rFonts w:asciiTheme="majorHAnsi" w:hAnsiTheme="majorHAnsi" w:cstheme="majorHAnsi"/>
          <w:i/>
          <w:iCs/>
        </w:rPr>
        <w:t>]</w:t>
      </w:r>
    </w:p>
    <w:p w14:paraId="2A55FE9A" w14:textId="77777777" w:rsidR="000B1988" w:rsidRPr="0091494E" w:rsidRDefault="000B1988" w:rsidP="00EB17A6">
      <w:pPr>
        <w:rPr>
          <w:rFonts w:asciiTheme="majorHAnsi" w:hAnsiTheme="majorHAnsi" w:cstheme="majorHAnsi"/>
          <w:i/>
          <w:iCs/>
        </w:rPr>
      </w:pPr>
    </w:p>
    <w:tbl>
      <w:tblPr>
        <w:tblStyle w:val="TableGrid"/>
        <w:tblW w:w="0" w:type="auto"/>
        <w:tblLook w:val="04A0" w:firstRow="1" w:lastRow="0" w:firstColumn="1" w:lastColumn="0" w:noHBand="0" w:noVBand="1"/>
      </w:tblPr>
      <w:tblGrid>
        <w:gridCol w:w="2337"/>
        <w:gridCol w:w="2337"/>
        <w:gridCol w:w="2338"/>
        <w:gridCol w:w="2338"/>
      </w:tblGrid>
      <w:tr w:rsidR="00C972C2" w:rsidRPr="007D3A90" w14:paraId="3874FA9B" w14:textId="77777777" w:rsidTr="004F3F78">
        <w:tc>
          <w:tcPr>
            <w:tcW w:w="2337" w:type="dxa"/>
            <w:shd w:val="pct12" w:color="auto" w:fill="auto"/>
          </w:tcPr>
          <w:p w14:paraId="57E0DB04" w14:textId="609C93DD" w:rsidR="00C972C2" w:rsidRPr="007D3A90" w:rsidRDefault="00C972C2" w:rsidP="00EB17A6">
            <w:pPr>
              <w:rPr>
                <w:rFonts w:asciiTheme="majorHAnsi" w:hAnsiTheme="majorHAnsi" w:cstheme="majorHAnsi"/>
                <w:b/>
                <w:bCs/>
                <w:i/>
                <w:iCs/>
              </w:rPr>
            </w:pPr>
            <w:r w:rsidRPr="007D3A90">
              <w:rPr>
                <w:rFonts w:asciiTheme="majorHAnsi" w:hAnsiTheme="majorHAnsi" w:cstheme="majorHAnsi"/>
                <w:b/>
                <w:bCs/>
                <w:i/>
                <w:iCs/>
              </w:rPr>
              <w:t>Item</w:t>
            </w:r>
          </w:p>
        </w:tc>
        <w:tc>
          <w:tcPr>
            <w:tcW w:w="2337" w:type="dxa"/>
            <w:shd w:val="pct12" w:color="auto" w:fill="auto"/>
          </w:tcPr>
          <w:p w14:paraId="683F00A4" w14:textId="713A60E7" w:rsidR="00C972C2" w:rsidRPr="007D3A90" w:rsidRDefault="00C972C2" w:rsidP="00EB17A6">
            <w:pPr>
              <w:rPr>
                <w:rFonts w:asciiTheme="majorHAnsi" w:hAnsiTheme="majorHAnsi" w:cstheme="majorHAnsi"/>
                <w:b/>
                <w:bCs/>
                <w:i/>
                <w:iCs/>
              </w:rPr>
            </w:pPr>
            <w:r w:rsidRPr="007D3A90">
              <w:rPr>
                <w:rFonts w:asciiTheme="majorHAnsi" w:hAnsiTheme="majorHAnsi" w:cstheme="majorHAnsi"/>
                <w:b/>
                <w:bCs/>
                <w:i/>
                <w:iCs/>
              </w:rPr>
              <w:t>Description</w:t>
            </w:r>
          </w:p>
        </w:tc>
        <w:tc>
          <w:tcPr>
            <w:tcW w:w="2338" w:type="dxa"/>
            <w:shd w:val="pct12" w:color="auto" w:fill="auto"/>
          </w:tcPr>
          <w:p w14:paraId="54088BC3" w14:textId="61B8F4C6" w:rsidR="00C972C2" w:rsidRPr="007D3A90" w:rsidRDefault="00C972C2" w:rsidP="00EB17A6">
            <w:pPr>
              <w:rPr>
                <w:rFonts w:asciiTheme="majorHAnsi" w:hAnsiTheme="majorHAnsi" w:cstheme="majorHAnsi"/>
                <w:b/>
                <w:bCs/>
                <w:i/>
                <w:iCs/>
              </w:rPr>
            </w:pPr>
            <w:r w:rsidRPr="007D3A90">
              <w:rPr>
                <w:rFonts w:asciiTheme="majorHAnsi" w:hAnsiTheme="majorHAnsi" w:cstheme="majorHAnsi"/>
                <w:b/>
                <w:bCs/>
                <w:i/>
                <w:iCs/>
              </w:rPr>
              <w:t>Weight</w:t>
            </w:r>
          </w:p>
        </w:tc>
        <w:tc>
          <w:tcPr>
            <w:tcW w:w="2338" w:type="dxa"/>
            <w:shd w:val="pct12" w:color="auto" w:fill="auto"/>
          </w:tcPr>
          <w:p w14:paraId="66E69F2A" w14:textId="06093B1F" w:rsidR="00C972C2" w:rsidRPr="007D3A90" w:rsidRDefault="00C972C2" w:rsidP="00EB17A6">
            <w:pPr>
              <w:rPr>
                <w:rFonts w:asciiTheme="majorHAnsi" w:hAnsiTheme="majorHAnsi" w:cstheme="majorHAnsi"/>
                <w:b/>
                <w:bCs/>
                <w:i/>
                <w:iCs/>
              </w:rPr>
            </w:pPr>
            <w:r w:rsidRPr="007D3A90">
              <w:rPr>
                <w:rFonts w:asciiTheme="majorHAnsi" w:hAnsiTheme="majorHAnsi" w:cstheme="majorHAnsi"/>
                <w:b/>
                <w:bCs/>
                <w:i/>
                <w:iCs/>
              </w:rPr>
              <w:t>Date Due</w:t>
            </w:r>
          </w:p>
        </w:tc>
      </w:tr>
      <w:tr w:rsidR="00C972C2" w:rsidRPr="0091494E" w14:paraId="70B1BE30" w14:textId="77777777" w:rsidTr="00C972C2">
        <w:tc>
          <w:tcPr>
            <w:tcW w:w="2337" w:type="dxa"/>
          </w:tcPr>
          <w:p w14:paraId="7ABED8CF" w14:textId="77777777" w:rsidR="00C972C2" w:rsidRPr="0091494E" w:rsidRDefault="00C972C2" w:rsidP="00EB17A6">
            <w:pPr>
              <w:rPr>
                <w:rFonts w:asciiTheme="majorHAnsi" w:hAnsiTheme="majorHAnsi" w:cstheme="majorHAnsi"/>
                <w:i/>
                <w:iCs/>
              </w:rPr>
            </w:pPr>
          </w:p>
        </w:tc>
        <w:tc>
          <w:tcPr>
            <w:tcW w:w="2337" w:type="dxa"/>
          </w:tcPr>
          <w:p w14:paraId="06906880" w14:textId="77777777" w:rsidR="00C972C2" w:rsidRPr="0091494E" w:rsidRDefault="00C972C2" w:rsidP="00EB17A6">
            <w:pPr>
              <w:rPr>
                <w:rFonts w:asciiTheme="majorHAnsi" w:hAnsiTheme="majorHAnsi" w:cstheme="majorHAnsi"/>
                <w:i/>
                <w:iCs/>
              </w:rPr>
            </w:pPr>
          </w:p>
        </w:tc>
        <w:tc>
          <w:tcPr>
            <w:tcW w:w="2338" w:type="dxa"/>
          </w:tcPr>
          <w:p w14:paraId="6D05AE2B" w14:textId="77777777" w:rsidR="00C972C2" w:rsidRPr="0091494E" w:rsidRDefault="00C972C2" w:rsidP="00EB17A6">
            <w:pPr>
              <w:rPr>
                <w:rFonts w:asciiTheme="majorHAnsi" w:hAnsiTheme="majorHAnsi" w:cstheme="majorHAnsi"/>
                <w:i/>
                <w:iCs/>
              </w:rPr>
            </w:pPr>
          </w:p>
        </w:tc>
        <w:tc>
          <w:tcPr>
            <w:tcW w:w="2338" w:type="dxa"/>
          </w:tcPr>
          <w:p w14:paraId="0DF7A641" w14:textId="77777777" w:rsidR="00C972C2" w:rsidRPr="0091494E" w:rsidRDefault="00C972C2" w:rsidP="00EB17A6">
            <w:pPr>
              <w:rPr>
                <w:rFonts w:asciiTheme="majorHAnsi" w:hAnsiTheme="majorHAnsi" w:cstheme="majorHAnsi"/>
                <w:i/>
                <w:iCs/>
              </w:rPr>
            </w:pPr>
          </w:p>
        </w:tc>
      </w:tr>
      <w:tr w:rsidR="00C972C2" w:rsidRPr="0091494E" w14:paraId="02F4A8B8" w14:textId="77777777" w:rsidTr="00C972C2">
        <w:tc>
          <w:tcPr>
            <w:tcW w:w="2337" w:type="dxa"/>
          </w:tcPr>
          <w:p w14:paraId="6DDA2894" w14:textId="77777777" w:rsidR="00C972C2" w:rsidRPr="0091494E" w:rsidRDefault="00C972C2" w:rsidP="00EB17A6">
            <w:pPr>
              <w:rPr>
                <w:rFonts w:asciiTheme="majorHAnsi" w:hAnsiTheme="majorHAnsi" w:cstheme="majorHAnsi"/>
                <w:i/>
                <w:iCs/>
              </w:rPr>
            </w:pPr>
          </w:p>
        </w:tc>
        <w:tc>
          <w:tcPr>
            <w:tcW w:w="2337" w:type="dxa"/>
          </w:tcPr>
          <w:p w14:paraId="65539A64" w14:textId="77777777" w:rsidR="00C972C2" w:rsidRPr="0091494E" w:rsidRDefault="00C972C2" w:rsidP="00EB17A6">
            <w:pPr>
              <w:rPr>
                <w:rFonts w:asciiTheme="majorHAnsi" w:hAnsiTheme="majorHAnsi" w:cstheme="majorHAnsi"/>
                <w:i/>
                <w:iCs/>
              </w:rPr>
            </w:pPr>
          </w:p>
        </w:tc>
        <w:tc>
          <w:tcPr>
            <w:tcW w:w="2338" w:type="dxa"/>
          </w:tcPr>
          <w:p w14:paraId="5356EC6E" w14:textId="77777777" w:rsidR="00C972C2" w:rsidRPr="0091494E" w:rsidRDefault="00C972C2" w:rsidP="00EB17A6">
            <w:pPr>
              <w:rPr>
                <w:rFonts w:asciiTheme="majorHAnsi" w:hAnsiTheme="majorHAnsi" w:cstheme="majorHAnsi"/>
                <w:i/>
                <w:iCs/>
              </w:rPr>
            </w:pPr>
          </w:p>
        </w:tc>
        <w:tc>
          <w:tcPr>
            <w:tcW w:w="2338" w:type="dxa"/>
          </w:tcPr>
          <w:p w14:paraId="48B92CB3" w14:textId="77777777" w:rsidR="00C972C2" w:rsidRPr="0091494E" w:rsidRDefault="00C972C2" w:rsidP="00EB17A6">
            <w:pPr>
              <w:rPr>
                <w:rFonts w:asciiTheme="majorHAnsi" w:hAnsiTheme="majorHAnsi" w:cstheme="majorHAnsi"/>
                <w:i/>
                <w:iCs/>
              </w:rPr>
            </w:pPr>
          </w:p>
        </w:tc>
      </w:tr>
      <w:tr w:rsidR="00C972C2" w:rsidRPr="0091494E" w14:paraId="5631BDA5" w14:textId="77777777" w:rsidTr="00C972C2">
        <w:tc>
          <w:tcPr>
            <w:tcW w:w="2337" w:type="dxa"/>
          </w:tcPr>
          <w:p w14:paraId="14869B1E" w14:textId="77777777" w:rsidR="00C972C2" w:rsidRPr="0091494E" w:rsidRDefault="00C972C2" w:rsidP="00EB17A6">
            <w:pPr>
              <w:rPr>
                <w:rFonts w:asciiTheme="majorHAnsi" w:hAnsiTheme="majorHAnsi" w:cstheme="majorHAnsi"/>
                <w:i/>
                <w:iCs/>
              </w:rPr>
            </w:pPr>
          </w:p>
        </w:tc>
        <w:tc>
          <w:tcPr>
            <w:tcW w:w="2337" w:type="dxa"/>
          </w:tcPr>
          <w:p w14:paraId="0AF98B6B" w14:textId="77777777" w:rsidR="00C972C2" w:rsidRPr="0091494E" w:rsidRDefault="00C972C2" w:rsidP="00EB17A6">
            <w:pPr>
              <w:rPr>
                <w:rFonts w:asciiTheme="majorHAnsi" w:hAnsiTheme="majorHAnsi" w:cstheme="majorHAnsi"/>
                <w:i/>
                <w:iCs/>
              </w:rPr>
            </w:pPr>
          </w:p>
        </w:tc>
        <w:tc>
          <w:tcPr>
            <w:tcW w:w="2338" w:type="dxa"/>
          </w:tcPr>
          <w:p w14:paraId="22664038" w14:textId="77777777" w:rsidR="00C972C2" w:rsidRPr="0091494E" w:rsidRDefault="00C972C2" w:rsidP="00EB17A6">
            <w:pPr>
              <w:rPr>
                <w:rFonts w:asciiTheme="majorHAnsi" w:hAnsiTheme="majorHAnsi" w:cstheme="majorHAnsi"/>
                <w:i/>
                <w:iCs/>
              </w:rPr>
            </w:pPr>
          </w:p>
        </w:tc>
        <w:tc>
          <w:tcPr>
            <w:tcW w:w="2338" w:type="dxa"/>
          </w:tcPr>
          <w:p w14:paraId="47BA6E99" w14:textId="77777777" w:rsidR="00C972C2" w:rsidRPr="0091494E" w:rsidRDefault="00C972C2" w:rsidP="00EB17A6">
            <w:pPr>
              <w:rPr>
                <w:rFonts w:asciiTheme="majorHAnsi" w:hAnsiTheme="majorHAnsi" w:cstheme="majorHAnsi"/>
                <w:i/>
                <w:iCs/>
              </w:rPr>
            </w:pPr>
          </w:p>
        </w:tc>
      </w:tr>
    </w:tbl>
    <w:p w14:paraId="7C10F0DF" w14:textId="0A3C41B5" w:rsidR="00C31EC4" w:rsidRDefault="00C31EC4" w:rsidP="00EB17A6">
      <w:pPr>
        <w:rPr>
          <w:rFonts w:asciiTheme="majorHAnsi" w:hAnsiTheme="majorHAnsi" w:cstheme="majorHAnsi"/>
        </w:rPr>
      </w:pPr>
    </w:p>
    <w:p w14:paraId="44B17939" w14:textId="5B2499AE" w:rsidR="00CF796C" w:rsidRDefault="00CF796C" w:rsidP="00EB17A6">
      <w:pPr>
        <w:rPr>
          <w:rFonts w:asciiTheme="majorHAnsi" w:hAnsiTheme="majorHAnsi" w:cstheme="majorHAnsi"/>
        </w:rPr>
      </w:pPr>
      <w:r>
        <w:rPr>
          <w:rFonts w:asciiTheme="majorHAnsi" w:hAnsiTheme="majorHAnsi" w:cstheme="majorHAnsi"/>
        </w:rPr>
        <w:t>Assignment Instructions</w:t>
      </w:r>
    </w:p>
    <w:p w14:paraId="25F4284D" w14:textId="6C13342A" w:rsidR="000B1988" w:rsidRPr="0091494E" w:rsidRDefault="00CF796C" w:rsidP="000A139D">
      <w:pPr>
        <w:rPr>
          <w:rFonts w:asciiTheme="majorHAnsi" w:hAnsiTheme="majorHAnsi" w:cstheme="majorHAnsi"/>
          <w:i/>
          <w:iCs/>
        </w:rPr>
      </w:pPr>
      <w:r>
        <w:rPr>
          <w:rFonts w:asciiTheme="majorHAnsi" w:hAnsiTheme="majorHAnsi" w:cstheme="majorHAnsi"/>
          <w:i/>
          <w:iCs/>
        </w:rPr>
        <w:t>[Include detailed instructions regarding format and word count</w:t>
      </w:r>
      <w:r w:rsidR="000A139D">
        <w:rPr>
          <w:rFonts w:asciiTheme="majorHAnsi" w:hAnsiTheme="majorHAnsi" w:cstheme="majorBidi"/>
          <w:lang w:val="en-CA"/>
        </w:rPr>
        <w:t xml:space="preserve"> </w:t>
      </w:r>
      <w:r w:rsidR="00B621C6">
        <w:rPr>
          <w:rFonts w:asciiTheme="majorHAnsi" w:hAnsiTheme="majorHAnsi" w:cstheme="majorBidi"/>
          <w:lang w:val="en-CA"/>
        </w:rPr>
        <w:t xml:space="preserve">and </w:t>
      </w:r>
      <w:r w:rsidR="00B621C6" w:rsidRPr="0091494E">
        <w:rPr>
          <w:rFonts w:asciiTheme="majorHAnsi" w:hAnsiTheme="majorHAnsi" w:cstheme="majorHAnsi"/>
          <w:i/>
          <w:iCs/>
        </w:rPr>
        <w:t>how</w:t>
      </w:r>
      <w:r w:rsidR="000B1988" w:rsidRPr="0091494E">
        <w:rPr>
          <w:rFonts w:asciiTheme="majorHAnsi" w:hAnsiTheme="majorHAnsi" w:cstheme="majorHAnsi"/>
          <w:i/>
          <w:iCs/>
        </w:rPr>
        <w:t xml:space="preserve"> to hand in assignments such as:</w:t>
      </w:r>
    </w:p>
    <w:p w14:paraId="0557F332" w14:textId="390202BC" w:rsidR="000B1988" w:rsidRPr="0091494E" w:rsidRDefault="000B1988" w:rsidP="000B1988">
      <w:pPr>
        <w:pStyle w:val="ListParagraph"/>
        <w:numPr>
          <w:ilvl w:val="0"/>
          <w:numId w:val="10"/>
        </w:numPr>
        <w:rPr>
          <w:rFonts w:asciiTheme="majorHAnsi" w:hAnsiTheme="majorHAnsi" w:cstheme="majorHAnsi"/>
          <w:i/>
          <w:iCs/>
        </w:rPr>
      </w:pPr>
      <w:r w:rsidRPr="0091494E">
        <w:rPr>
          <w:rFonts w:asciiTheme="majorHAnsi" w:hAnsiTheme="majorHAnsi" w:cstheme="majorHAnsi"/>
          <w:i/>
          <w:iCs/>
        </w:rPr>
        <w:t>Filenames should be formatted: lastnamefirstname_[coursecode]_Assignment#.</w:t>
      </w:r>
    </w:p>
    <w:p w14:paraId="5B291320" w14:textId="16C36DB5" w:rsidR="000B1988" w:rsidRPr="0091494E" w:rsidRDefault="000B1988" w:rsidP="000B1988">
      <w:pPr>
        <w:pStyle w:val="ListParagraph"/>
        <w:numPr>
          <w:ilvl w:val="0"/>
          <w:numId w:val="10"/>
        </w:numPr>
        <w:rPr>
          <w:rFonts w:asciiTheme="majorHAnsi" w:hAnsiTheme="majorHAnsi" w:cstheme="majorHAnsi"/>
          <w:i/>
          <w:iCs/>
        </w:rPr>
      </w:pPr>
      <w:r w:rsidRPr="0091494E">
        <w:rPr>
          <w:rFonts w:asciiTheme="majorHAnsi" w:hAnsiTheme="majorHAnsi" w:cstheme="majorHAnsi"/>
          <w:i/>
          <w:iCs/>
        </w:rPr>
        <w:t>Assignments can be submitted through Quercus</w:t>
      </w:r>
    </w:p>
    <w:p w14:paraId="4D5ABFD5" w14:textId="6254724C" w:rsidR="000B1988" w:rsidRPr="0091494E" w:rsidRDefault="009E4B73" w:rsidP="000B1988">
      <w:pPr>
        <w:pStyle w:val="ListParagraph"/>
        <w:numPr>
          <w:ilvl w:val="0"/>
          <w:numId w:val="10"/>
        </w:numPr>
        <w:rPr>
          <w:rFonts w:asciiTheme="majorHAnsi" w:hAnsiTheme="majorHAnsi" w:cstheme="majorHAnsi"/>
          <w:i/>
          <w:iCs/>
        </w:rPr>
      </w:pPr>
      <w:r>
        <w:rPr>
          <w:rFonts w:asciiTheme="majorHAnsi" w:hAnsiTheme="majorHAnsi" w:cstheme="majorHAnsi"/>
          <w:i/>
          <w:iCs/>
        </w:rPr>
        <w:t>Plagiarism Detection Tool</w:t>
      </w:r>
      <w:r w:rsidR="000B1988" w:rsidRPr="0091494E">
        <w:rPr>
          <w:rFonts w:asciiTheme="majorHAnsi" w:hAnsiTheme="majorHAnsi" w:cstheme="majorHAnsi"/>
          <w:i/>
          <w:iCs/>
        </w:rPr>
        <w:t>]</w:t>
      </w:r>
    </w:p>
    <w:p w14:paraId="254FFA9B" w14:textId="068EF3A0" w:rsidR="43F2B5C6" w:rsidRDefault="43F2B5C6" w:rsidP="004A7ED6">
      <w:pPr>
        <w:rPr>
          <w:rFonts w:asciiTheme="majorHAnsi" w:hAnsiTheme="majorHAnsi" w:cstheme="majorBidi"/>
          <w:b/>
          <w:bCs/>
        </w:rPr>
      </w:pPr>
    </w:p>
    <w:p w14:paraId="3A25C7BE" w14:textId="21EFF6A9" w:rsidR="0553747F" w:rsidRDefault="0553747F">
      <w:r w:rsidRPr="0553747F">
        <w:rPr>
          <w:rFonts w:ascii="Calibri Light" w:eastAsia="Calibri Light" w:hAnsi="Calibri Light" w:cs="Calibri Light"/>
          <w:b/>
          <w:bCs/>
        </w:rPr>
        <w:t>Grading and Penalties</w:t>
      </w:r>
    </w:p>
    <w:p w14:paraId="3A4B6BBA" w14:textId="73F460D6" w:rsidR="0553747F" w:rsidRDefault="0553747F">
      <w:r w:rsidRPr="0553747F">
        <w:rPr>
          <w:rFonts w:ascii="Calibri Light" w:eastAsia="Calibri Light" w:hAnsi="Calibri Light" w:cs="Calibri Light"/>
        </w:rPr>
        <w:t xml:space="preserve">The University of Toronto Grading Policy specifies the meaning of grades and grade scales for graduate students as well as general policies regarding grading practices. </w:t>
      </w:r>
      <w:hyperlink r:id="rId15" w:history="1">
        <w:r w:rsidRPr="0553747F">
          <w:rPr>
            <w:rStyle w:val="Hyperlink"/>
            <w:rFonts w:ascii="Calibri Light" w:eastAsia="Calibri Light" w:hAnsi="Calibri Light" w:cs="Calibri Light"/>
          </w:rPr>
          <w:t>https://governingcouncil.utoronto.ca/secretariat/policies/grading-practices-policy-university-assessment-and-january-1-2020</w:t>
        </w:r>
      </w:hyperlink>
    </w:p>
    <w:p w14:paraId="622DA66E" w14:textId="77777777" w:rsidR="00AE64A0" w:rsidRDefault="00AE64A0"/>
    <w:p w14:paraId="06AE2237" w14:textId="0D9205D5" w:rsidR="00EB6DE9" w:rsidRPr="004A7ED6" w:rsidRDefault="00AE64A0" w:rsidP="00903519">
      <w:pPr>
        <w:rPr>
          <w:rFonts w:cstheme="minorHAnsi"/>
        </w:rPr>
      </w:pPr>
      <w:r w:rsidRPr="00665798">
        <w:rPr>
          <w:rFonts w:cstheme="minorHAnsi"/>
        </w:rPr>
        <w:t>Instructors are advised to specifically note the following sections</w:t>
      </w:r>
    </w:p>
    <w:p w14:paraId="15622D00" w14:textId="1FA144D7" w:rsidR="00665798" w:rsidRDefault="0553747F" w:rsidP="00903519">
      <w:pPr>
        <w:pStyle w:val="ListParagraph"/>
        <w:numPr>
          <w:ilvl w:val="0"/>
          <w:numId w:val="15"/>
        </w:numPr>
        <w:rPr>
          <w:rFonts w:ascii="Calibri Light" w:eastAsia="Calibri Light" w:hAnsi="Calibri Light" w:cs="Calibri Light"/>
        </w:rPr>
      </w:pPr>
      <w:r w:rsidRPr="004A7ED6">
        <w:rPr>
          <w:rFonts w:ascii="Calibri Light" w:eastAsia="Calibri Light" w:hAnsi="Calibri Light" w:cs="Calibri Light"/>
          <w:i/>
          <w:iCs/>
        </w:rPr>
        <w:t xml:space="preserve">“1.2. Consequences for late submission” </w:t>
      </w:r>
      <w:r w:rsidRPr="004A7ED6">
        <w:rPr>
          <w:rFonts w:ascii="Calibri Light" w:eastAsia="Calibri Light" w:hAnsi="Calibri Light" w:cs="Calibri Light"/>
        </w:rPr>
        <w:t>which specifies</w:t>
      </w:r>
      <w:r w:rsidRPr="004A7ED6">
        <w:rPr>
          <w:rFonts w:ascii="Calibri Light" w:eastAsia="Calibri Light" w:hAnsi="Calibri Light" w:cs="Calibri Light"/>
          <w:i/>
          <w:iCs/>
        </w:rPr>
        <w:t xml:space="preserve"> “…instructors are not obliged to accept late work, except where there are legitimate, documented reasons beyond a student’s control. In such cases, a late penalty is normally not appropriate. Where an </w:t>
      </w:r>
      <w:r w:rsidR="008C5741" w:rsidRPr="008C5741">
        <w:rPr>
          <w:rFonts w:ascii="Calibri Light" w:eastAsia="Calibri Light" w:hAnsi="Calibri Light" w:cs="Calibri Light"/>
          <w:i/>
          <w:iCs/>
        </w:rPr>
        <w:t>instructor</w:t>
      </w:r>
      <w:r w:rsidRPr="004A7ED6">
        <w:rPr>
          <w:rFonts w:ascii="Calibri Light" w:eastAsia="Calibri Light" w:hAnsi="Calibri Light" w:cs="Calibri Light"/>
          <w:i/>
          <w:iCs/>
        </w:rPr>
        <w:t xml:space="preserve"> intends to accept and apply penalties to late assignments, this must be set out clearly in the course syllabus.”</w:t>
      </w:r>
      <w:r w:rsidR="00903519" w:rsidRPr="004A7ED6">
        <w:rPr>
          <w:rFonts w:ascii="Calibri Light" w:eastAsia="Calibri Light" w:hAnsi="Calibri Light" w:cs="Calibri Light"/>
        </w:rPr>
        <w:t xml:space="preserve"> </w:t>
      </w:r>
    </w:p>
    <w:p w14:paraId="4E1EB745" w14:textId="1101B7A5" w:rsidR="00AE64A0" w:rsidRPr="004A7ED6" w:rsidRDefault="00903519" w:rsidP="004A7ED6">
      <w:pPr>
        <w:pStyle w:val="ListParagraph"/>
        <w:numPr>
          <w:ilvl w:val="0"/>
          <w:numId w:val="15"/>
        </w:numPr>
        <w:rPr>
          <w:rFonts w:ascii="Calibri Light" w:eastAsia="Calibri Light" w:hAnsi="Calibri Light" w:cs="Calibri Light"/>
        </w:rPr>
      </w:pPr>
      <w:r w:rsidRPr="004A7ED6">
        <w:rPr>
          <w:rFonts w:ascii="Calibri Light" w:eastAsia="Calibri Light" w:hAnsi="Calibri Light" w:cs="Calibri Light"/>
          <w:i/>
          <w:iCs/>
        </w:rPr>
        <w:t>“1.3. Changes to the method of evaluation”</w:t>
      </w:r>
      <w:r w:rsidRPr="004A7ED6">
        <w:rPr>
          <w:rFonts w:ascii="Calibri Light" w:eastAsia="Calibri Light" w:hAnsi="Calibri Light" w:cs="Calibri Light"/>
        </w:rPr>
        <w:t xml:space="preserve"> </w:t>
      </w:r>
      <w:r w:rsidR="00F07BE4">
        <w:rPr>
          <w:rFonts w:ascii="Calibri Light" w:eastAsia="Calibri Light" w:hAnsi="Calibri Light" w:cs="Calibri Light"/>
        </w:rPr>
        <w:t xml:space="preserve">which </w:t>
      </w:r>
      <w:r w:rsidRPr="004A7ED6">
        <w:rPr>
          <w:rFonts w:ascii="Calibri Light" w:eastAsia="Calibri Light" w:hAnsi="Calibri Light" w:cs="Calibri Light"/>
        </w:rPr>
        <w:t xml:space="preserve">specifies </w:t>
      </w:r>
      <w:r w:rsidRPr="004A7ED6">
        <w:rPr>
          <w:rFonts w:ascii="Calibri Light" w:eastAsia="Calibri Light" w:hAnsi="Calibri Light" w:cs="Calibri Light"/>
          <w:i/>
          <w:iCs/>
        </w:rPr>
        <w:t>“…after the methods of evaluation have been made known, the instructor may not change them or their relative weight without the consent of a simple majority of students attending the class.”</w:t>
      </w:r>
      <w:r w:rsidRPr="004A7ED6">
        <w:rPr>
          <w:rFonts w:ascii="Calibri Light" w:eastAsia="Calibri Light" w:hAnsi="Calibri Light" w:cs="Calibri Light"/>
        </w:rPr>
        <w:t xml:space="preserve">  </w:t>
      </w:r>
    </w:p>
    <w:p w14:paraId="739DE63E" w14:textId="77777777" w:rsidR="00AE64A0" w:rsidRDefault="00AE64A0" w:rsidP="00903519">
      <w:pPr>
        <w:rPr>
          <w:rFonts w:ascii="Calibri Light" w:eastAsia="Calibri Light" w:hAnsi="Calibri Light" w:cs="Calibri Light"/>
        </w:rPr>
      </w:pPr>
    </w:p>
    <w:p w14:paraId="2E5353E9" w14:textId="1FBC0A36" w:rsidR="0553747F" w:rsidRPr="004A7ED6" w:rsidRDefault="00665798" w:rsidP="3A19AAFF">
      <w:r>
        <w:rPr>
          <w:rFonts w:ascii="Calibri Light" w:eastAsia="Calibri Light" w:hAnsi="Calibri Light" w:cs="Calibri Light"/>
        </w:rPr>
        <w:t>Based on the above</w:t>
      </w:r>
      <w:r w:rsidR="00EB6D70">
        <w:rPr>
          <w:rFonts w:ascii="Calibri Light" w:eastAsia="Calibri Light" w:hAnsi="Calibri Light" w:cs="Calibri Light"/>
        </w:rPr>
        <w:t xml:space="preserve"> policies</w:t>
      </w:r>
      <w:r w:rsidR="00AE64A0">
        <w:rPr>
          <w:rFonts w:ascii="Calibri Light" w:eastAsia="Calibri Light" w:hAnsi="Calibri Light" w:cs="Calibri Light"/>
        </w:rPr>
        <w:t xml:space="preserve">, instructors are advised to </w:t>
      </w:r>
      <w:r w:rsidR="00AE64A0" w:rsidRPr="0553747F">
        <w:rPr>
          <w:rFonts w:ascii="Calibri Light" w:eastAsia="Calibri Light" w:hAnsi="Calibri Light" w:cs="Calibri Light"/>
        </w:rPr>
        <w:t xml:space="preserve">detail </w:t>
      </w:r>
      <w:r w:rsidR="00D12534">
        <w:rPr>
          <w:rFonts w:ascii="Calibri Light" w:eastAsia="Calibri Light" w:hAnsi="Calibri Light" w:cs="Calibri Light"/>
        </w:rPr>
        <w:t xml:space="preserve">if late assignments will be accepted and the associated </w:t>
      </w:r>
      <w:r w:rsidR="00AE64A0" w:rsidRPr="0553747F">
        <w:rPr>
          <w:rFonts w:ascii="Calibri Light" w:eastAsia="Calibri Light" w:hAnsi="Calibri Light" w:cs="Calibri Light"/>
        </w:rPr>
        <w:t>penal</w:t>
      </w:r>
      <w:r w:rsidR="00D12534">
        <w:rPr>
          <w:rFonts w:ascii="Calibri Light" w:eastAsia="Calibri Light" w:hAnsi="Calibri Light" w:cs="Calibri Light"/>
        </w:rPr>
        <w:t>ties</w:t>
      </w:r>
      <w:r w:rsidR="00AE64A0" w:rsidRPr="0553747F">
        <w:rPr>
          <w:rFonts w:ascii="Calibri Light" w:eastAsia="Calibri Light" w:hAnsi="Calibri Light" w:cs="Calibri Light"/>
        </w:rPr>
        <w:t xml:space="preserve"> </w:t>
      </w:r>
      <w:r w:rsidR="00D12534">
        <w:rPr>
          <w:rFonts w:ascii="Calibri Light" w:eastAsia="Calibri Light" w:hAnsi="Calibri Light" w:cs="Calibri Light"/>
        </w:rPr>
        <w:t xml:space="preserve">as well as penalties for </w:t>
      </w:r>
      <w:r w:rsidR="00AE64A0" w:rsidRPr="0553747F">
        <w:rPr>
          <w:rFonts w:ascii="Calibri Light" w:eastAsia="Calibri Light" w:hAnsi="Calibri Light" w:cs="Calibri Light"/>
        </w:rPr>
        <w:t>non-compliance with assignment requirements such as format and word length</w:t>
      </w:r>
      <w:r w:rsidR="00D12534">
        <w:rPr>
          <w:rFonts w:ascii="Calibri Light" w:eastAsia="Calibri Light" w:hAnsi="Calibri Light" w:cs="Calibri Light"/>
        </w:rPr>
        <w:t xml:space="preserve"> in the course syllabus</w:t>
      </w:r>
      <w:r w:rsidR="00AE64A0" w:rsidRPr="0553747F">
        <w:rPr>
          <w:rFonts w:ascii="Calibri Light" w:eastAsia="Calibri Light" w:hAnsi="Calibri Light" w:cs="Calibri Light"/>
        </w:rPr>
        <w:t>.</w:t>
      </w:r>
      <w:r w:rsidR="00D12534">
        <w:t xml:space="preserve">  </w:t>
      </w:r>
      <w:r w:rsidR="00D12534" w:rsidRPr="00D12534">
        <w:t>For example:</w:t>
      </w:r>
    </w:p>
    <w:p w14:paraId="39AF1406" w14:textId="391C8E14" w:rsidR="00EE0712" w:rsidRPr="004A7ED6" w:rsidRDefault="00D12534" w:rsidP="004A7ED6">
      <w:pPr>
        <w:pStyle w:val="ListParagraph"/>
        <w:numPr>
          <w:ilvl w:val="0"/>
          <w:numId w:val="19"/>
        </w:numPr>
        <w:rPr>
          <w:rFonts w:ascii="Calibri Light" w:eastAsia="Calibri Light" w:hAnsi="Calibri Light" w:cs="Calibri Light"/>
          <w:i/>
          <w:iCs/>
        </w:rPr>
      </w:pPr>
      <w:r w:rsidRPr="004A7ED6">
        <w:rPr>
          <w:rFonts w:ascii="Calibri Light" w:eastAsia="Calibri Light" w:hAnsi="Calibri Light" w:cs="Calibri Light"/>
          <w:i/>
          <w:iCs/>
        </w:rPr>
        <w:t xml:space="preserve">Late assignment penalties: </w:t>
      </w:r>
      <w:r w:rsidR="0553747F" w:rsidRPr="004A7ED6">
        <w:rPr>
          <w:rFonts w:ascii="Calibri Light" w:eastAsia="Calibri Light" w:hAnsi="Calibri Light" w:cs="Calibri Light"/>
          <w:i/>
          <w:iCs/>
        </w:rPr>
        <w:t xml:space="preserve">Points will be deducted for handing in assignments </w:t>
      </w:r>
      <w:r w:rsidR="006E4138" w:rsidRPr="006E4138">
        <w:rPr>
          <w:rFonts w:ascii="Calibri Light" w:eastAsia="Calibri Light" w:hAnsi="Calibri Light" w:cs="Calibri Light"/>
          <w:i/>
          <w:iCs/>
        </w:rPr>
        <w:t>late unless</w:t>
      </w:r>
      <w:r w:rsidR="0553747F" w:rsidRPr="004A7ED6">
        <w:rPr>
          <w:rFonts w:ascii="Calibri Light" w:eastAsia="Calibri Light" w:hAnsi="Calibri Light" w:cs="Calibri Light"/>
          <w:i/>
          <w:iCs/>
        </w:rPr>
        <w:t xml:space="preserve"> permission is obtained ahead of time (5% if turned in 1 day late; 10% 2 days late; 15% 3 days late and so on).  Extensions will only be granted in circumstances that are unavoidable and unpredictable (e.g., illness, emergency). Late assignments will not be accepted after marked assignments have been returned.]</w:t>
      </w:r>
    </w:p>
    <w:p w14:paraId="1B800E8D" w14:textId="088D8EE1" w:rsidR="0553747F" w:rsidRPr="004A7ED6" w:rsidRDefault="002B7AF3" w:rsidP="004A7ED6">
      <w:pPr>
        <w:pStyle w:val="ListParagraph"/>
        <w:numPr>
          <w:ilvl w:val="0"/>
          <w:numId w:val="16"/>
        </w:numPr>
        <w:rPr>
          <w:rFonts w:ascii="Calibri Light" w:eastAsia="Calibri Light" w:hAnsi="Calibri Light" w:cs="Calibri Light"/>
          <w:i/>
          <w:iCs/>
        </w:rPr>
      </w:pPr>
      <w:r w:rsidRPr="004A7ED6">
        <w:rPr>
          <w:rFonts w:ascii="Calibri Light" w:eastAsia="Calibri Light" w:hAnsi="Calibri Light" w:cs="Calibri Light"/>
          <w:i/>
          <w:iCs/>
        </w:rPr>
        <w:t>Exceeding word limit:</w:t>
      </w:r>
      <w:r w:rsidRPr="097A018F">
        <w:rPr>
          <w:rFonts w:ascii="Arial" w:eastAsia="Symbol" w:hAnsi="Arial" w:cs="Arial"/>
        </w:rPr>
        <w:t xml:space="preserve"> </w:t>
      </w:r>
      <w:r w:rsidR="0553747F" w:rsidRPr="004A7ED6">
        <w:rPr>
          <w:rFonts w:ascii="Calibri Light" w:eastAsia="Calibri Light" w:hAnsi="Calibri Light" w:cs="Calibri Light"/>
        </w:rPr>
        <w:t>A grading penalty will be applied to assignments</w:t>
      </w:r>
      <w:r w:rsidR="0553747F" w:rsidRPr="097A018F">
        <w:rPr>
          <w:rFonts w:ascii="Calibri" w:eastAsia="Calibri" w:hAnsi="Calibri" w:cs="Calibri"/>
          <w:sz w:val="22"/>
          <w:szCs w:val="22"/>
        </w:rPr>
        <w:t xml:space="preserve"> </w:t>
      </w:r>
      <w:r w:rsidR="0553747F" w:rsidRPr="004A7ED6">
        <w:rPr>
          <w:rFonts w:ascii="Calibri Light" w:eastAsia="Calibri Light" w:hAnsi="Calibri Light" w:cs="Calibri Light"/>
        </w:rPr>
        <w:t>that exceed the prescribed word limit will. Deductions will be: 10 percentage points for excess length of between 10 and up to 20 percent, and 20 percentage points for excess length of between 21 and up to 30 percent. Assignments with excess length of over 30 percent will be assigned a grade of 0.</w:t>
      </w:r>
    </w:p>
    <w:p w14:paraId="712A440F" w14:textId="2E120E62" w:rsidR="0553747F" w:rsidRDefault="0553747F" w:rsidP="0553747F">
      <w:pPr>
        <w:rPr>
          <w:rFonts w:asciiTheme="majorHAnsi" w:hAnsiTheme="majorHAnsi" w:cstheme="majorBidi"/>
          <w:b/>
          <w:bCs/>
        </w:rPr>
      </w:pPr>
    </w:p>
    <w:p w14:paraId="3F89F12E" w14:textId="0133E3DF" w:rsidR="00EB17A6" w:rsidRPr="0091494E" w:rsidRDefault="00EB17A6" w:rsidP="00EB17A6">
      <w:pPr>
        <w:rPr>
          <w:rFonts w:asciiTheme="majorHAnsi" w:hAnsiTheme="majorHAnsi" w:cstheme="majorHAnsi"/>
          <w:i/>
          <w:iCs/>
        </w:rPr>
      </w:pPr>
      <w:r w:rsidRPr="0091494E">
        <w:rPr>
          <w:rFonts w:asciiTheme="majorHAnsi" w:hAnsiTheme="majorHAnsi" w:cstheme="majorHAnsi"/>
          <w:b/>
          <w:bCs/>
        </w:rPr>
        <w:t>Course/departmental/divisional policies</w:t>
      </w:r>
      <w:r w:rsidRPr="0091494E">
        <w:rPr>
          <w:rFonts w:asciiTheme="majorHAnsi" w:hAnsiTheme="majorHAnsi" w:cstheme="majorHAnsi"/>
        </w:rPr>
        <w:br/>
      </w:r>
      <w:r w:rsidR="000B1988" w:rsidRPr="0091494E">
        <w:rPr>
          <w:rFonts w:asciiTheme="majorHAnsi" w:hAnsiTheme="majorHAnsi" w:cstheme="majorHAnsi"/>
          <w:i/>
          <w:iCs/>
        </w:rPr>
        <w:t>[</w:t>
      </w:r>
      <w:r w:rsidR="005615CB" w:rsidRPr="0091494E">
        <w:rPr>
          <w:rFonts w:asciiTheme="majorHAnsi" w:hAnsiTheme="majorHAnsi" w:cstheme="majorHAnsi"/>
          <w:i/>
          <w:iCs/>
        </w:rPr>
        <w:t>Outline</w:t>
      </w:r>
      <w:r w:rsidRPr="0091494E">
        <w:rPr>
          <w:rFonts w:asciiTheme="majorHAnsi" w:hAnsiTheme="majorHAnsi" w:cstheme="majorHAnsi"/>
          <w:i/>
          <w:iCs/>
        </w:rPr>
        <w:t xml:space="preserve"> departmental, divisional, or their own policies regarding:</w:t>
      </w:r>
    </w:p>
    <w:p w14:paraId="29F647A8" w14:textId="77777777" w:rsidR="00EB17A6" w:rsidRPr="0091494E" w:rsidRDefault="00EB17A6" w:rsidP="00990CA0">
      <w:pPr>
        <w:numPr>
          <w:ilvl w:val="0"/>
          <w:numId w:val="6"/>
        </w:numPr>
        <w:rPr>
          <w:rFonts w:asciiTheme="majorHAnsi" w:hAnsiTheme="majorHAnsi" w:cstheme="majorHAnsi"/>
          <w:i/>
          <w:iCs/>
        </w:rPr>
      </w:pPr>
      <w:r w:rsidRPr="0091494E">
        <w:rPr>
          <w:rFonts w:asciiTheme="majorHAnsi" w:hAnsiTheme="majorHAnsi" w:cstheme="majorHAnsi"/>
          <w:i/>
          <w:iCs/>
        </w:rPr>
        <w:t>expectations for participation and attendance</w:t>
      </w:r>
    </w:p>
    <w:p w14:paraId="6827B89E" w14:textId="77777777" w:rsidR="00EB17A6" w:rsidRPr="0091494E" w:rsidRDefault="00EB17A6" w:rsidP="00990CA0">
      <w:pPr>
        <w:numPr>
          <w:ilvl w:val="0"/>
          <w:numId w:val="6"/>
        </w:numPr>
        <w:rPr>
          <w:rFonts w:asciiTheme="majorHAnsi" w:hAnsiTheme="majorHAnsi" w:cstheme="majorHAnsi"/>
          <w:i/>
          <w:iCs/>
        </w:rPr>
      </w:pPr>
      <w:r w:rsidRPr="0091494E">
        <w:rPr>
          <w:rFonts w:asciiTheme="majorHAnsi" w:hAnsiTheme="majorHAnsi" w:cstheme="majorHAnsi"/>
          <w:i/>
          <w:iCs/>
        </w:rPr>
        <w:t>deadlines for assignment submissions</w:t>
      </w:r>
    </w:p>
    <w:p w14:paraId="56E27544" w14:textId="3A27D12D" w:rsidR="00EB17A6" w:rsidRPr="0091494E" w:rsidRDefault="00EB17A6" w:rsidP="00990CA0">
      <w:pPr>
        <w:numPr>
          <w:ilvl w:val="0"/>
          <w:numId w:val="6"/>
        </w:numPr>
        <w:rPr>
          <w:rFonts w:asciiTheme="majorHAnsi" w:hAnsiTheme="majorHAnsi" w:cstheme="majorHAnsi"/>
          <w:i/>
          <w:iCs/>
        </w:rPr>
      </w:pPr>
      <w:r w:rsidRPr="0091494E">
        <w:rPr>
          <w:rFonts w:asciiTheme="majorHAnsi" w:hAnsiTheme="majorHAnsi" w:cstheme="majorHAnsi"/>
          <w:i/>
          <w:iCs/>
        </w:rPr>
        <w:t>submission methods (</w:t>
      </w:r>
      <w:r w:rsidR="008C5741" w:rsidRPr="0091494E">
        <w:rPr>
          <w:rFonts w:asciiTheme="majorHAnsi" w:hAnsiTheme="majorHAnsi" w:cstheme="majorHAnsi"/>
          <w:i/>
          <w:iCs/>
        </w:rPr>
        <w:t>e.g.,</w:t>
      </w:r>
      <w:r w:rsidRPr="0091494E">
        <w:rPr>
          <w:rFonts w:asciiTheme="majorHAnsi" w:hAnsiTheme="majorHAnsi" w:cstheme="majorHAnsi"/>
          <w:i/>
          <w:iCs/>
        </w:rPr>
        <w:t xml:space="preserve"> in person</w:t>
      </w:r>
      <w:r w:rsidR="009E4B73">
        <w:rPr>
          <w:rFonts w:asciiTheme="majorHAnsi" w:hAnsiTheme="majorHAnsi" w:cstheme="majorHAnsi"/>
          <w:i/>
          <w:iCs/>
        </w:rPr>
        <w:t>,</w:t>
      </w:r>
      <w:r w:rsidRPr="0091494E">
        <w:rPr>
          <w:rFonts w:asciiTheme="majorHAnsi" w:hAnsiTheme="majorHAnsi" w:cstheme="majorHAnsi"/>
          <w:i/>
          <w:iCs/>
        </w:rPr>
        <w:t xml:space="preserve"> electronically</w:t>
      </w:r>
      <w:r w:rsidR="009E4B73">
        <w:rPr>
          <w:rFonts w:asciiTheme="majorHAnsi" w:hAnsiTheme="majorHAnsi" w:cstheme="majorHAnsi"/>
          <w:i/>
          <w:iCs/>
        </w:rPr>
        <w:t>, or</w:t>
      </w:r>
      <w:r w:rsidRPr="0091494E">
        <w:rPr>
          <w:rFonts w:asciiTheme="majorHAnsi" w:hAnsiTheme="majorHAnsi" w:cstheme="majorHAnsi"/>
          <w:i/>
          <w:iCs/>
        </w:rPr>
        <w:t xml:space="preserve"> through</w:t>
      </w:r>
      <w:r w:rsidR="009E4B73">
        <w:rPr>
          <w:rFonts w:asciiTheme="majorHAnsi" w:hAnsiTheme="majorHAnsi" w:cstheme="majorHAnsi"/>
          <w:i/>
          <w:iCs/>
        </w:rPr>
        <w:t xml:space="preserve"> the plagiarism detection tool</w:t>
      </w:r>
      <w:r w:rsidRPr="0091494E">
        <w:rPr>
          <w:rFonts w:asciiTheme="majorHAnsi" w:hAnsiTheme="majorHAnsi" w:cstheme="majorHAnsi"/>
          <w:i/>
          <w:iCs/>
        </w:rPr>
        <w:t>)</w:t>
      </w:r>
    </w:p>
    <w:p w14:paraId="27E85612" w14:textId="77777777" w:rsidR="000655DC" w:rsidRPr="0091494E" w:rsidRDefault="000655DC" w:rsidP="43F2B5C6">
      <w:pPr>
        <w:rPr>
          <w:rFonts w:asciiTheme="majorHAnsi" w:hAnsiTheme="majorHAnsi" w:cstheme="majorBidi"/>
        </w:rPr>
      </w:pPr>
    </w:p>
    <w:p w14:paraId="4F54184E" w14:textId="4D727EC2" w:rsidR="00E157D6" w:rsidRDefault="00E157D6" w:rsidP="43F2B5C6">
      <w:pPr>
        <w:rPr>
          <w:rFonts w:asciiTheme="majorHAnsi" w:hAnsiTheme="majorHAnsi" w:cstheme="majorBidi"/>
          <w:b/>
          <w:bCs/>
        </w:rPr>
      </w:pPr>
      <w:r w:rsidRPr="43F2B5C6">
        <w:rPr>
          <w:rFonts w:asciiTheme="majorHAnsi" w:hAnsiTheme="majorHAnsi" w:cstheme="majorBidi"/>
          <w:b/>
          <w:bCs/>
        </w:rPr>
        <w:t xml:space="preserve">Satisfactory Performance and Good </w:t>
      </w:r>
      <w:r w:rsidR="00FC1B81" w:rsidRPr="43F2B5C6">
        <w:rPr>
          <w:rFonts w:asciiTheme="majorHAnsi" w:hAnsiTheme="majorHAnsi" w:cstheme="majorBidi"/>
          <w:b/>
          <w:bCs/>
        </w:rPr>
        <w:t xml:space="preserve">Academic </w:t>
      </w:r>
      <w:r w:rsidRPr="43F2B5C6">
        <w:rPr>
          <w:rFonts w:asciiTheme="majorHAnsi" w:hAnsiTheme="majorHAnsi" w:cstheme="majorBidi"/>
          <w:b/>
          <w:bCs/>
        </w:rPr>
        <w:t>Standing</w:t>
      </w:r>
    </w:p>
    <w:p w14:paraId="35790357" w14:textId="3066A0D3" w:rsidR="00787BDB" w:rsidRDefault="00787BDB" w:rsidP="43F2B5C6">
      <w:pPr>
        <w:rPr>
          <w:rFonts w:asciiTheme="majorHAnsi" w:hAnsiTheme="majorHAnsi" w:cstheme="majorBidi"/>
          <w:i/>
          <w:iCs/>
        </w:rPr>
      </w:pPr>
      <w:r w:rsidRPr="43F2B5C6">
        <w:rPr>
          <w:rFonts w:asciiTheme="majorHAnsi" w:hAnsiTheme="majorHAnsi" w:cstheme="majorBidi"/>
        </w:rPr>
        <w:t xml:space="preserve">Students are reminded they must achieve satisfactory performance </w:t>
      </w:r>
      <w:r w:rsidR="00EC1664" w:rsidRPr="43F2B5C6">
        <w:rPr>
          <w:rFonts w:asciiTheme="majorHAnsi" w:hAnsiTheme="majorHAnsi" w:cstheme="majorBidi"/>
        </w:rPr>
        <w:t>to</w:t>
      </w:r>
      <w:r w:rsidRPr="43F2B5C6">
        <w:rPr>
          <w:rFonts w:asciiTheme="majorHAnsi" w:hAnsiTheme="majorHAnsi" w:cstheme="majorBidi"/>
        </w:rPr>
        <w:t xml:space="preserve"> remain in good academic standing and continue with their program. </w:t>
      </w:r>
      <w:r w:rsidR="00FC1B81" w:rsidRPr="43F2B5C6">
        <w:rPr>
          <w:rFonts w:asciiTheme="majorHAnsi" w:hAnsiTheme="majorHAnsi" w:cstheme="majorBidi"/>
        </w:rPr>
        <w:t>According to the School of Graduate Studies (SGS), “</w:t>
      </w:r>
      <w:r w:rsidR="00FC1B81" w:rsidRPr="004A7ED6">
        <w:rPr>
          <w:rFonts w:asciiTheme="majorHAnsi" w:hAnsiTheme="majorHAnsi" w:cstheme="majorBidi"/>
        </w:rPr>
        <w:t>Satisfactory performance in a degree program requires the completion of every course taken for graduate credit with a grade of at least a B–</w:t>
      </w:r>
      <w:r w:rsidR="00FC1B81" w:rsidRPr="43F2B5C6">
        <w:rPr>
          <w:rFonts w:asciiTheme="majorHAnsi" w:hAnsiTheme="majorHAnsi" w:cstheme="majorBidi"/>
        </w:rPr>
        <w:t xml:space="preserve"> “.</w:t>
      </w:r>
      <w:r w:rsidRPr="43F2B5C6">
        <w:rPr>
          <w:rFonts w:asciiTheme="majorHAnsi" w:hAnsiTheme="majorHAnsi" w:cstheme="majorBidi"/>
        </w:rPr>
        <w:t xml:space="preserve">  For a full description of these requirements please see the </w:t>
      </w:r>
      <w:r w:rsidR="00FC1B81" w:rsidRPr="43F2B5C6">
        <w:rPr>
          <w:rFonts w:asciiTheme="majorHAnsi" w:hAnsiTheme="majorHAnsi" w:cstheme="majorBidi"/>
        </w:rPr>
        <w:t xml:space="preserve">SGS </w:t>
      </w:r>
      <w:r w:rsidRPr="43F2B5C6">
        <w:rPr>
          <w:rFonts w:asciiTheme="majorHAnsi" w:hAnsiTheme="majorHAnsi" w:cstheme="majorBidi"/>
        </w:rPr>
        <w:t xml:space="preserve">Calendar section </w:t>
      </w:r>
      <w:r w:rsidRPr="43F2B5C6">
        <w:rPr>
          <w:rFonts w:asciiTheme="majorHAnsi" w:hAnsiTheme="majorHAnsi" w:cstheme="majorBidi"/>
          <w:i/>
          <w:iCs/>
        </w:rPr>
        <w:t xml:space="preserve">“7 Good Academic Standing and Satisfactory Academic Progress, Time Limits, Supervision, and Candidacy” </w:t>
      </w:r>
      <w:r w:rsidRPr="43F2B5C6">
        <w:rPr>
          <w:rFonts w:asciiTheme="majorHAnsi" w:hAnsiTheme="majorHAnsi" w:cstheme="majorBidi"/>
        </w:rPr>
        <w:t xml:space="preserve">and section </w:t>
      </w:r>
      <w:r w:rsidRPr="43F2B5C6">
        <w:rPr>
          <w:rFonts w:asciiTheme="majorHAnsi" w:hAnsiTheme="majorHAnsi" w:cstheme="majorBidi"/>
          <w:i/>
          <w:iCs/>
        </w:rPr>
        <w:t>“7.4 Satisfactory Completion of Graduate Courses”.</w:t>
      </w:r>
      <w:r w:rsidR="00E157D6" w:rsidRPr="43F2B5C6">
        <w:rPr>
          <w:rFonts w:asciiTheme="majorHAnsi" w:hAnsiTheme="majorHAnsi" w:cstheme="majorBidi"/>
          <w:i/>
          <w:iCs/>
        </w:rPr>
        <w:t xml:space="preserve"> (</w:t>
      </w:r>
      <w:r w:rsidR="00FC1B81" w:rsidRPr="43F2B5C6">
        <w:rPr>
          <w:rFonts w:asciiTheme="majorHAnsi" w:hAnsiTheme="majorHAnsi" w:cstheme="majorBidi"/>
          <w:i/>
          <w:iCs/>
        </w:rPr>
        <w:t>https://sgs.calendar.utoronto.ca/general-regulations#7</w:t>
      </w:r>
      <w:r w:rsidR="00E157D6" w:rsidRPr="43F2B5C6">
        <w:rPr>
          <w:rFonts w:asciiTheme="majorHAnsi" w:hAnsiTheme="majorHAnsi" w:cstheme="majorBidi"/>
          <w:i/>
          <w:iCs/>
        </w:rPr>
        <w:t>)</w:t>
      </w:r>
    </w:p>
    <w:p w14:paraId="3402B2D9" w14:textId="38DC7568" w:rsidR="43F2B5C6" w:rsidRDefault="43F2B5C6" w:rsidP="43F2B5C6">
      <w:pPr>
        <w:rPr>
          <w:rFonts w:asciiTheme="majorHAnsi" w:hAnsiTheme="majorHAnsi" w:cstheme="majorBidi"/>
          <w:i/>
          <w:iCs/>
        </w:rPr>
      </w:pPr>
    </w:p>
    <w:p w14:paraId="3D92E463" w14:textId="7953C45A" w:rsidR="005615CB" w:rsidRPr="0091494E" w:rsidRDefault="005615CB" w:rsidP="005615CB">
      <w:pPr>
        <w:rPr>
          <w:rFonts w:asciiTheme="majorHAnsi" w:hAnsiTheme="majorHAnsi" w:cstheme="majorHAnsi"/>
        </w:rPr>
      </w:pPr>
      <w:r w:rsidRPr="0091494E">
        <w:rPr>
          <w:rFonts w:asciiTheme="majorHAnsi" w:hAnsiTheme="majorHAnsi" w:cstheme="majorHAnsi"/>
          <w:b/>
          <w:bCs/>
        </w:rPr>
        <w:t xml:space="preserve">Respect for </w:t>
      </w:r>
      <w:r w:rsidR="0010623F" w:rsidRPr="0091494E">
        <w:rPr>
          <w:rFonts w:asciiTheme="majorHAnsi" w:hAnsiTheme="majorHAnsi" w:cstheme="majorHAnsi"/>
          <w:b/>
          <w:bCs/>
        </w:rPr>
        <w:t>classmates</w:t>
      </w:r>
    </w:p>
    <w:p w14:paraId="4976FA09" w14:textId="579BBB30" w:rsidR="00E82FC7" w:rsidRPr="00982740" w:rsidRDefault="00982740" w:rsidP="00982740">
      <w:pPr>
        <w:rPr>
          <w:rFonts w:asciiTheme="majorHAnsi" w:eastAsia="Times New Roman" w:hAnsiTheme="majorHAnsi" w:cstheme="majorHAnsi"/>
          <w:lang w:val="en-CA"/>
        </w:rPr>
      </w:pPr>
      <w:r w:rsidRPr="00982740">
        <w:rPr>
          <w:rFonts w:asciiTheme="majorHAnsi" w:eastAsia="Times New Roman" w:hAnsiTheme="majorHAnsi" w:cstheme="majorHAnsi"/>
          <w:lang w:val="en-CA"/>
        </w:rPr>
        <w:t xml:space="preserve">The University of Toronto is committed to equity, human </w:t>
      </w:r>
      <w:r w:rsidR="006E4138" w:rsidRPr="00982740">
        <w:rPr>
          <w:rFonts w:asciiTheme="majorHAnsi" w:eastAsia="Times New Roman" w:hAnsiTheme="majorHAnsi" w:cstheme="majorHAnsi"/>
          <w:lang w:val="en-CA"/>
        </w:rPr>
        <w:t>rights,</w:t>
      </w:r>
      <w:r w:rsidRPr="00982740">
        <w:rPr>
          <w:rFonts w:asciiTheme="majorHAnsi" w:eastAsia="Times New Roman" w:hAnsiTheme="majorHAnsi" w:cstheme="majorHAnsi"/>
          <w:lang w:val="en-CA"/>
        </w:rPr>
        <w:t xml:space="preserve"> and respect for diversity. All members of the learning environment in this course should strive to create an atmosphere of mutual respect where all members of our community can express themselves, engage with each other, and respect one another’s differences. U of T does not condone discrimination or harassment against any persons or communities.</w:t>
      </w:r>
    </w:p>
    <w:p w14:paraId="3B1F776D" w14:textId="41355502" w:rsidR="0010623F" w:rsidRPr="0091494E" w:rsidRDefault="0010623F" w:rsidP="0010623F">
      <w:pPr>
        <w:rPr>
          <w:rFonts w:asciiTheme="majorHAnsi" w:hAnsiTheme="majorHAnsi" w:cstheme="majorHAnsi"/>
        </w:rPr>
      </w:pPr>
    </w:p>
    <w:p w14:paraId="77FF9A71" w14:textId="1DA09FAB" w:rsidR="005615CB" w:rsidRPr="00993D83" w:rsidRDefault="0010623F" w:rsidP="005615CB">
      <w:pPr>
        <w:rPr>
          <w:rFonts w:asciiTheme="majorHAnsi" w:hAnsiTheme="majorHAnsi" w:cstheme="majorHAnsi"/>
          <w:b/>
          <w:bCs/>
        </w:rPr>
      </w:pPr>
      <w:r w:rsidRPr="0091494E">
        <w:rPr>
          <w:rFonts w:asciiTheme="majorHAnsi" w:hAnsiTheme="majorHAnsi" w:cstheme="majorHAnsi"/>
          <w:b/>
          <w:bCs/>
        </w:rPr>
        <w:t>Academic integrity</w:t>
      </w:r>
    </w:p>
    <w:p w14:paraId="23D4E693" w14:textId="191A27FC" w:rsidR="005615CB" w:rsidRPr="0091494E" w:rsidRDefault="005615CB" w:rsidP="000B1988">
      <w:pPr>
        <w:autoSpaceDE w:val="0"/>
        <w:autoSpaceDN w:val="0"/>
        <w:adjustRightInd w:val="0"/>
        <w:jc w:val="both"/>
        <w:rPr>
          <w:rFonts w:asciiTheme="majorHAnsi" w:hAnsiTheme="majorHAnsi" w:cstheme="majorHAnsi"/>
        </w:rPr>
      </w:pPr>
      <w:r w:rsidRPr="0091494E">
        <w:rPr>
          <w:rFonts w:asciiTheme="majorHAnsi" w:hAnsiTheme="majorHAnsi" w:cstheme="majorHAnsi"/>
        </w:rPr>
        <w:t xml:space="preserve">Students must adhere to the </w:t>
      </w:r>
      <w:hyperlink r:id="rId16" w:history="1">
        <w:r w:rsidRPr="0091494E">
          <w:rPr>
            <w:rStyle w:val="Hyperlink"/>
            <w:rFonts w:asciiTheme="majorHAnsi" w:hAnsiTheme="majorHAnsi" w:cstheme="majorHAnsi"/>
          </w:rPr>
          <w:t>Code of Behaviour on Academic Matters</w:t>
        </w:r>
      </w:hyperlink>
      <w:r w:rsidRPr="0091494E">
        <w:rPr>
          <w:rFonts w:asciiTheme="majorHAnsi" w:hAnsiTheme="majorHAnsi" w:cstheme="majorHAnsi"/>
        </w:rPr>
        <w:t xml:space="preserve">. </w:t>
      </w:r>
      <w:r w:rsidR="000B1988" w:rsidRPr="0091494E">
        <w:rPr>
          <w:rFonts w:asciiTheme="majorHAnsi" w:hAnsiTheme="majorHAnsi" w:cstheme="majorHAnsi"/>
          <w:b/>
        </w:rPr>
        <w:t xml:space="preserve">It is your responsibility to know what constitutes appropriate academic behaviour. </w:t>
      </w:r>
      <w:r w:rsidRPr="0091494E">
        <w:rPr>
          <w:rFonts w:asciiTheme="majorHAnsi" w:hAnsiTheme="majorHAnsi" w:cstheme="majorHAnsi"/>
        </w:rPr>
        <w:t xml:space="preserve">You are responsible for ensuring that you do not act in such a way that would constitute cheating, misrepresentation, or unfairness, including but not limited to, using unauthorized aids and assistance, personating another person, and committing plagiarism. For more information see </w:t>
      </w:r>
      <w:hyperlink r:id="rId17" w:history="1">
        <w:r w:rsidRPr="0091494E">
          <w:rPr>
            <w:rStyle w:val="Hyperlink"/>
            <w:rFonts w:asciiTheme="majorHAnsi" w:hAnsiTheme="majorHAnsi" w:cstheme="majorHAnsi"/>
          </w:rPr>
          <w:t>U of T Academic Integrity</w:t>
        </w:r>
      </w:hyperlink>
      <w:r w:rsidRPr="0091494E">
        <w:rPr>
          <w:rFonts w:asciiTheme="majorHAnsi" w:hAnsiTheme="majorHAnsi" w:cstheme="majorHAnsi"/>
        </w:rPr>
        <w:t xml:space="preserve"> website.</w:t>
      </w:r>
    </w:p>
    <w:p w14:paraId="049A304F" w14:textId="7433E97F" w:rsidR="00001D30" w:rsidRPr="0091494E" w:rsidRDefault="00001D30" w:rsidP="00EB17A6">
      <w:pPr>
        <w:rPr>
          <w:rFonts w:asciiTheme="majorHAnsi" w:hAnsiTheme="majorHAnsi" w:cstheme="majorHAnsi"/>
        </w:rPr>
      </w:pPr>
    </w:p>
    <w:p w14:paraId="4564B8F2" w14:textId="7036C619" w:rsidR="002270B7" w:rsidRDefault="000B1988" w:rsidP="000B1988">
      <w:pPr>
        <w:autoSpaceDE w:val="0"/>
        <w:autoSpaceDN w:val="0"/>
        <w:adjustRightInd w:val="0"/>
        <w:jc w:val="both"/>
        <w:rPr>
          <w:rFonts w:asciiTheme="majorHAnsi" w:hAnsiTheme="majorHAnsi" w:cstheme="majorHAnsi"/>
        </w:rPr>
      </w:pPr>
      <w:r w:rsidRPr="0091494E">
        <w:rPr>
          <w:rFonts w:asciiTheme="majorHAnsi" w:hAnsiTheme="majorHAnsi" w:cstheme="majorHAnsi"/>
        </w:rPr>
        <w:t>Academic integrity includes understanding appropriate research and citation methods. If you are uncertain about this, please seek out additional information from the instructors or from other institutional resources</w:t>
      </w:r>
      <w:r w:rsidR="002270B7">
        <w:rPr>
          <w:rFonts w:asciiTheme="majorHAnsi" w:hAnsiTheme="majorHAnsi" w:cstheme="majorHAnsi"/>
        </w:rPr>
        <w:t xml:space="preserve"> including the following</w:t>
      </w:r>
      <w:r w:rsidR="00D978A7">
        <w:rPr>
          <w:rFonts w:asciiTheme="majorHAnsi" w:hAnsiTheme="majorHAnsi" w:cstheme="majorHAnsi"/>
        </w:rPr>
        <w:t>:</w:t>
      </w:r>
    </w:p>
    <w:p w14:paraId="7B307AE0" w14:textId="30692A45" w:rsidR="000B1988" w:rsidRDefault="002270B7" w:rsidP="002270B7">
      <w:pPr>
        <w:pStyle w:val="ListParagraph"/>
        <w:numPr>
          <w:ilvl w:val="0"/>
          <w:numId w:val="11"/>
        </w:numPr>
        <w:autoSpaceDE w:val="0"/>
        <w:autoSpaceDN w:val="0"/>
        <w:adjustRightInd w:val="0"/>
        <w:jc w:val="both"/>
        <w:rPr>
          <w:rStyle w:val="Hyperlink"/>
          <w:rFonts w:asciiTheme="majorHAnsi" w:hAnsiTheme="majorHAnsi" w:cstheme="majorHAnsi"/>
        </w:rPr>
      </w:pPr>
      <w:r>
        <w:rPr>
          <w:rFonts w:asciiTheme="majorHAnsi" w:hAnsiTheme="majorHAnsi" w:cstheme="majorHAnsi"/>
        </w:rPr>
        <w:t xml:space="preserve">This </w:t>
      </w:r>
      <w:r w:rsidR="000B1988" w:rsidRPr="00D978A7">
        <w:rPr>
          <w:rFonts w:asciiTheme="majorHAnsi" w:hAnsiTheme="majorHAnsi" w:cstheme="majorHAnsi"/>
        </w:rPr>
        <w:t xml:space="preserve">tip sheet provides clear and helpful information about appropriate academic citation: </w:t>
      </w:r>
      <w:hyperlink r:id="rId18" w:history="1">
        <w:r w:rsidR="000B1988" w:rsidRPr="002270B7">
          <w:rPr>
            <w:rStyle w:val="Hyperlink"/>
            <w:rFonts w:asciiTheme="majorHAnsi" w:hAnsiTheme="majorHAnsi" w:cstheme="majorHAnsi"/>
          </w:rPr>
          <w:t>http://guides.library.utoronto.ca/citing</w:t>
        </w:r>
      </w:hyperlink>
    </w:p>
    <w:p w14:paraId="02E70FF7" w14:textId="0234BFF9" w:rsidR="002270B7" w:rsidRPr="00D978A7" w:rsidRDefault="002270B7" w:rsidP="00D13602">
      <w:pPr>
        <w:pStyle w:val="ListParagraph"/>
        <w:numPr>
          <w:ilvl w:val="0"/>
          <w:numId w:val="11"/>
        </w:numPr>
        <w:autoSpaceDE w:val="0"/>
        <w:autoSpaceDN w:val="0"/>
        <w:adjustRightInd w:val="0"/>
        <w:rPr>
          <w:rFonts w:asciiTheme="majorHAnsi" w:hAnsiTheme="majorHAnsi" w:cstheme="majorHAnsi"/>
          <w:color w:val="0563C1" w:themeColor="hyperlink"/>
          <w:u w:val="single"/>
        </w:rPr>
      </w:pPr>
      <w:r>
        <w:rPr>
          <w:rFonts w:asciiTheme="majorHAnsi" w:hAnsiTheme="majorHAnsi" w:cstheme="majorHAnsi"/>
        </w:rPr>
        <w:t xml:space="preserve">This site offers a series of scenarios to help </w:t>
      </w:r>
      <w:r w:rsidRPr="002270B7">
        <w:rPr>
          <w:rFonts w:asciiTheme="majorHAnsi" w:hAnsiTheme="majorHAnsi" w:cstheme="majorHAnsi"/>
        </w:rPr>
        <w:t xml:space="preserve">students </w:t>
      </w:r>
      <w:r>
        <w:rPr>
          <w:rFonts w:asciiTheme="majorHAnsi" w:hAnsiTheme="majorHAnsi" w:cstheme="majorHAnsi"/>
        </w:rPr>
        <w:t xml:space="preserve">understand </w:t>
      </w:r>
      <w:r w:rsidRPr="002270B7">
        <w:rPr>
          <w:rFonts w:asciiTheme="majorHAnsi" w:hAnsiTheme="majorHAnsi" w:cstheme="majorHAnsi"/>
        </w:rPr>
        <w:t xml:space="preserve">how </w:t>
      </w:r>
      <w:r>
        <w:rPr>
          <w:rFonts w:asciiTheme="majorHAnsi" w:hAnsiTheme="majorHAnsi" w:cstheme="majorHAnsi"/>
        </w:rPr>
        <w:t xml:space="preserve">to </w:t>
      </w:r>
      <w:r w:rsidRPr="002270B7">
        <w:rPr>
          <w:rFonts w:asciiTheme="majorHAnsi" w:hAnsiTheme="majorHAnsi" w:cstheme="majorHAnsi"/>
        </w:rPr>
        <w:t>prevent themselves from being subject to academic offence allegations</w:t>
      </w:r>
      <w:r w:rsidR="00D13602">
        <w:rPr>
          <w:rFonts w:asciiTheme="majorHAnsi" w:hAnsiTheme="majorHAnsi" w:cstheme="majorHAnsi"/>
        </w:rPr>
        <w:t xml:space="preserve"> </w:t>
      </w:r>
      <w:hyperlink r:id="rId19" w:history="1">
        <w:r w:rsidR="00D13602" w:rsidRPr="00D13602">
          <w:rPr>
            <w:rStyle w:val="Hyperlink"/>
            <w:rFonts w:asciiTheme="majorHAnsi" w:hAnsiTheme="majorHAnsi" w:cstheme="majorHAnsi"/>
          </w:rPr>
          <w:t>https://www.utm.utoronto.ca/academic-integrity/students/scenarios</w:t>
        </w:r>
      </w:hyperlink>
      <w:r>
        <w:rPr>
          <w:rFonts w:asciiTheme="majorHAnsi" w:hAnsiTheme="majorHAnsi" w:cstheme="majorHAnsi"/>
        </w:rPr>
        <w:t xml:space="preserve"> </w:t>
      </w:r>
    </w:p>
    <w:p w14:paraId="1EACB739" w14:textId="10A19C4C" w:rsidR="00C7188E" w:rsidRDefault="00C7188E" w:rsidP="00D978A7">
      <w:pPr>
        <w:pStyle w:val="ListParagraph"/>
        <w:numPr>
          <w:ilvl w:val="0"/>
          <w:numId w:val="11"/>
        </w:numPr>
        <w:autoSpaceDE w:val="0"/>
        <w:autoSpaceDN w:val="0"/>
        <w:adjustRightInd w:val="0"/>
        <w:rPr>
          <w:rStyle w:val="Hyperlink"/>
          <w:rFonts w:asciiTheme="majorHAnsi" w:hAnsiTheme="majorHAnsi" w:cstheme="majorHAnsi"/>
        </w:rPr>
      </w:pPr>
      <w:r>
        <w:rPr>
          <w:rFonts w:asciiTheme="majorHAnsi" w:hAnsiTheme="majorHAnsi" w:cstheme="majorHAnsi"/>
        </w:rPr>
        <w:t xml:space="preserve">Before handing in assignments students can also review this </w:t>
      </w:r>
      <w:hyperlink r:id="rId20" w:history="1">
        <w:r w:rsidRPr="0084748E">
          <w:rPr>
            <w:rStyle w:val="Hyperlink"/>
            <w:rFonts w:asciiTheme="majorHAnsi" w:hAnsiTheme="majorHAnsi" w:cstheme="majorHAnsi"/>
          </w:rPr>
          <w:t>academic integrity checklist</w:t>
        </w:r>
      </w:hyperlink>
      <w:r>
        <w:rPr>
          <w:rFonts w:asciiTheme="majorHAnsi" w:hAnsiTheme="majorHAnsi" w:cstheme="majorHAnsi"/>
        </w:rPr>
        <w:t xml:space="preserve"> provided by the UofT Centre of Teaching Support &amp; Innovation</w:t>
      </w:r>
      <w:r w:rsidR="00D978A7">
        <w:rPr>
          <w:rFonts w:asciiTheme="majorHAnsi" w:hAnsiTheme="majorHAnsi" w:cstheme="majorHAnsi"/>
        </w:rPr>
        <w:t>:</w:t>
      </w:r>
    </w:p>
    <w:p w14:paraId="50207F0D" w14:textId="27DD2458" w:rsidR="00C7188E" w:rsidRPr="00D978A7" w:rsidRDefault="00C7188E" w:rsidP="00C7188E">
      <w:pPr>
        <w:pStyle w:val="ListParagraph"/>
        <w:numPr>
          <w:ilvl w:val="1"/>
          <w:numId w:val="11"/>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I have acknowledged the use of another’s ideas with accurate citations.</w:t>
      </w:r>
    </w:p>
    <w:p w14:paraId="26CEDEBF" w14:textId="69C81676" w:rsidR="00C7188E" w:rsidRPr="00D978A7" w:rsidRDefault="00C7188E" w:rsidP="00C7188E">
      <w:pPr>
        <w:pStyle w:val="ListParagraph"/>
        <w:numPr>
          <w:ilvl w:val="1"/>
          <w:numId w:val="11"/>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If I used the words of another (e.g., author, instructor, information source), I have acknowledged this with quotation marks (or appropriate indentation) and proper citation.</w:t>
      </w:r>
    </w:p>
    <w:p w14:paraId="725C7FA0" w14:textId="3C12AC8C" w:rsidR="00C7188E" w:rsidRPr="00D978A7" w:rsidRDefault="00C7188E" w:rsidP="00C7188E">
      <w:pPr>
        <w:pStyle w:val="ListParagraph"/>
        <w:numPr>
          <w:ilvl w:val="1"/>
          <w:numId w:val="11"/>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When paraphrasing the work of others, I put the idea into my own words and did not just change a few words or rearrange the sentence structure</w:t>
      </w:r>
    </w:p>
    <w:p w14:paraId="276812FB" w14:textId="33723E1E" w:rsidR="00C7188E" w:rsidRPr="00D978A7" w:rsidRDefault="00C7188E" w:rsidP="00C7188E">
      <w:pPr>
        <w:pStyle w:val="ListParagraph"/>
        <w:numPr>
          <w:ilvl w:val="1"/>
          <w:numId w:val="11"/>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I have checked my work against my notes to be sure I have correctly referenced all direct quotes or borrowed ideas.</w:t>
      </w:r>
    </w:p>
    <w:p w14:paraId="668B2CAC" w14:textId="36F1ACEF" w:rsidR="00C7188E" w:rsidRPr="00D978A7" w:rsidRDefault="00C7188E" w:rsidP="00C7188E">
      <w:pPr>
        <w:pStyle w:val="ListParagraph"/>
        <w:numPr>
          <w:ilvl w:val="1"/>
          <w:numId w:val="11"/>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 xml:space="preserve">My </w:t>
      </w:r>
      <w:r w:rsidR="00EE3DCB">
        <w:rPr>
          <w:rFonts w:asciiTheme="majorHAnsi" w:hAnsiTheme="majorHAnsi" w:cstheme="majorHAnsi"/>
          <w:lang w:val="en-CA"/>
        </w:rPr>
        <w:t>references</w:t>
      </w:r>
      <w:r w:rsidRPr="00D978A7">
        <w:rPr>
          <w:rFonts w:asciiTheme="majorHAnsi" w:hAnsiTheme="majorHAnsi" w:cstheme="majorHAnsi"/>
          <w:lang w:val="en-CA"/>
        </w:rPr>
        <w:t xml:space="preserve"> include only the sources used to complete this assignment.</w:t>
      </w:r>
    </w:p>
    <w:p w14:paraId="5ACAF87B" w14:textId="00807B89" w:rsidR="00C7188E" w:rsidRPr="00D978A7" w:rsidRDefault="00C7188E" w:rsidP="00C7188E">
      <w:pPr>
        <w:pStyle w:val="ListParagraph"/>
        <w:numPr>
          <w:ilvl w:val="1"/>
          <w:numId w:val="11"/>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This is the first time I have submitted this assignment (in whole or in part) for credit.</w:t>
      </w:r>
    </w:p>
    <w:p w14:paraId="7BF10C28" w14:textId="24178FBB" w:rsidR="00C7188E" w:rsidRPr="00D978A7" w:rsidRDefault="00C7188E" w:rsidP="00C7188E">
      <w:pPr>
        <w:pStyle w:val="ListParagraph"/>
        <w:numPr>
          <w:ilvl w:val="1"/>
          <w:numId w:val="11"/>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Any proofreading by another was limited to indicating areas of concern which I then corrected myself.</w:t>
      </w:r>
    </w:p>
    <w:p w14:paraId="779F09BD" w14:textId="708428E9" w:rsidR="00C7188E" w:rsidRPr="00D978A7" w:rsidRDefault="00C7188E" w:rsidP="00C7188E">
      <w:pPr>
        <w:pStyle w:val="ListParagraph"/>
        <w:numPr>
          <w:ilvl w:val="1"/>
          <w:numId w:val="11"/>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This is the final version of my assignment and not a draft.</w:t>
      </w:r>
    </w:p>
    <w:p w14:paraId="59F24B38" w14:textId="1922558D" w:rsidR="00C7188E" w:rsidRPr="00D978A7" w:rsidRDefault="00C7188E" w:rsidP="00C7188E">
      <w:pPr>
        <w:pStyle w:val="ListParagraph"/>
        <w:numPr>
          <w:ilvl w:val="1"/>
          <w:numId w:val="11"/>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I have kept my work to myself and did not share answers/content with others, unless otherwise directed by my instructor.</w:t>
      </w:r>
    </w:p>
    <w:p w14:paraId="6E4494E7" w14:textId="5538D312" w:rsidR="00C7188E" w:rsidRDefault="00C7188E" w:rsidP="00D978A7">
      <w:pPr>
        <w:pStyle w:val="ListParagraph"/>
        <w:numPr>
          <w:ilvl w:val="1"/>
          <w:numId w:val="11"/>
        </w:numPr>
        <w:autoSpaceDE w:val="0"/>
        <w:autoSpaceDN w:val="0"/>
        <w:adjustRightInd w:val="0"/>
        <w:rPr>
          <w:rFonts w:asciiTheme="majorHAnsi" w:hAnsiTheme="majorHAnsi" w:cstheme="majorHAnsi"/>
          <w:lang w:val="en-CA"/>
        </w:rPr>
      </w:pPr>
      <w:r w:rsidRPr="00D978A7">
        <w:rPr>
          <w:rFonts w:asciiTheme="majorHAnsi" w:hAnsiTheme="majorHAnsi" w:cstheme="majorHAnsi"/>
          <w:lang w:val="en-CA"/>
        </w:rPr>
        <w:t>I understand the consequences of violating the University’s Academic Integrity policies as outlined in the </w:t>
      </w:r>
      <w:hyperlink r:id="rId21" w:tgtFrame="_blank" w:history="1">
        <w:r w:rsidRPr="00D978A7">
          <w:rPr>
            <w:rStyle w:val="Hyperlink"/>
            <w:rFonts w:asciiTheme="majorHAnsi" w:hAnsiTheme="majorHAnsi" w:cstheme="majorHAnsi"/>
            <w:lang w:val="en-CA"/>
          </w:rPr>
          <w:t>Code of Behaviour on Academic Matters</w:t>
        </w:r>
      </w:hyperlink>
      <w:r w:rsidRPr="00D978A7">
        <w:rPr>
          <w:rFonts w:asciiTheme="majorHAnsi" w:hAnsiTheme="majorHAnsi" w:cstheme="majorHAnsi"/>
          <w:lang w:val="en-CA"/>
        </w:rPr>
        <w:t>.</w:t>
      </w:r>
    </w:p>
    <w:p w14:paraId="6DCA7DF0" w14:textId="77777777" w:rsidR="00C95A06" w:rsidRDefault="00C95A06" w:rsidP="00C95A06">
      <w:pPr>
        <w:autoSpaceDE w:val="0"/>
        <w:autoSpaceDN w:val="0"/>
        <w:adjustRightInd w:val="0"/>
        <w:rPr>
          <w:rFonts w:asciiTheme="majorHAnsi" w:hAnsiTheme="majorHAnsi" w:cstheme="majorHAnsi"/>
          <w:b/>
          <w:bCs/>
          <w:u w:val="single"/>
          <w:lang w:val="en-CA"/>
        </w:rPr>
      </w:pPr>
    </w:p>
    <w:p w14:paraId="70339653" w14:textId="59DC26D4" w:rsidR="00C95A06" w:rsidRPr="00C95A06" w:rsidRDefault="00C95A06" w:rsidP="00C95A06">
      <w:pPr>
        <w:autoSpaceDE w:val="0"/>
        <w:autoSpaceDN w:val="0"/>
        <w:adjustRightInd w:val="0"/>
        <w:rPr>
          <w:rFonts w:asciiTheme="majorHAnsi" w:hAnsiTheme="majorHAnsi" w:cstheme="majorHAnsi"/>
          <w:b/>
          <w:bCs/>
          <w:lang w:val="en-CA"/>
        </w:rPr>
      </w:pPr>
      <w:r w:rsidRPr="00C95A06">
        <w:rPr>
          <w:rFonts w:asciiTheme="majorHAnsi" w:hAnsiTheme="majorHAnsi" w:cstheme="majorHAnsi"/>
          <w:b/>
          <w:bCs/>
          <w:lang w:val="en-CA"/>
        </w:rPr>
        <w:t>Plagiarism Detection [optional]</w:t>
      </w:r>
    </w:p>
    <w:p w14:paraId="6C963528" w14:textId="77777777" w:rsidR="00C95A06" w:rsidRPr="00C95A06" w:rsidRDefault="00C95A06" w:rsidP="00C95A06">
      <w:pPr>
        <w:rPr>
          <w:rFonts w:asciiTheme="majorHAnsi" w:hAnsiTheme="majorHAnsi" w:cstheme="majorHAnsi"/>
        </w:rPr>
      </w:pPr>
      <w:r w:rsidRPr="00C95A06">
        <w:rPr>
          <w:rStyle w:val="s1"/>
          <w:rFonts w:asciiTheme="majorHAnsi" w:hAnsiTheme="majorHAnsi" w:cstheme="majorHAnsi"/>
        </w:rPr>
        <w:t>Normally, students will be required to submit their course essays to the University’s plagiarism detection tool for a review of textual similarity and detection of possible plagiarism. In doing so, students will allow their essays to be included as source documents in the tool’s reference database, where they will be used solely for the purpose of detecting plagiarism. The terms that apply to the University’s use of this tool are described on the Centre for Teaching Support &amp; Innovation web site (</w:t>
      </w:r>
      <w:hyperlink r:id="rId22" w:tgtFrame="_blank" w:history="1">
        <w:r w:rsidRPr="00C95A06">
          <w:rPr>
            <w:rStyle w:val="Hyperlink"/>
            <w:rFonts w:asciiTheme="majorHAnsi" w:hAnsiTheme="majorHAnsi" w:cstheme="majorHAnsi"/>
          </w:rPr>
          <w:t>https://uoft.me/pdt-faq</w:t>
        </w:r>
      </w:hyperlink>
      <w:r w:rsidRPr="00C95A06">
        <w:rPr>
          <w:rStyle w:val="s1"/>
          <w:rFonts w:asciiTheme="majorHAnsi" w:hAnsiTheme="majorHAnsi" w:cstheme="majorHAnsi"/>
        </w:rPr>
        <w:t>).</w:t>
      </w:r>
    </w:p>
    <w:p w14:paraId="37588A34" w14:textId="77777777" w:rsidR="00833265" w:rsidRPr="00C95A06" w:rsidRDefault="00833265" w:rsidP="00001D30">
      <w:pPr>
        <w:rPr>
          <w:rFonts w:asciiTheme="majorHAnsi" w:hAnsiTheme="majorHAnsi" w:cstheme="majorHAnsi"/>
          <w:b/>
          <w:bCs/>
          <w:highlight w:val="yellow"/>
        </w:rPr>
      </w:pPr>
    </w:p>
    <w:p w14:paraId="4553D705" w14:textId="370E2A61" w:rsidR="00001D30" w:rsidRPr="0091494E" w:rsidRDefault="00001D30" w:rsidP="00001D30">
      <w:pPr>
        <w:rPr>
          <w:rFonts w:asciiTheme="majorHAnsi" w:hAnsiTheme="majorHAnsi" w:cstheme="majorHAnsi"/>
          <w:b/>
          <w:bCs/>
        </w:rPr>
      </w:pPr>
      <w:r w:rsidRPr="0091494E">
        <w:rPr>
          <w:rFonts w:asciiTheme="majorHAnsi" w:hAnsiTheme="majorHAnsi" w:cstheme="majorHAnsi"/>
          <w:b/>
          <w:bCs/>
        </w:rPr>
        <w:t>Accessibility</w:t>
      </w:r>
    </w:p>
    <w:p w14:paraId="1329A490" w14:textId="0C68F4E3" w:rsidR="0091494E" w:rsidRPr="00982740" w:rsidRDefault="00982740" w:rsidP="00982740">
      <w:pPr>
        <w:rPr>
          <w:rFonts w:asciiTheme="majorHAnsi" w:eastAsia="Times New Roman" w:hAnsiTheme="majorHAnsi" w:cstheme="majorHAnsi"/>
          <w:lang w:val="en-CA"/>
        </w:rPr>
      </w:pPr>
      <w:r w:rsidRPr="00982740">
        <w:rPr>
          <w:rFonts w:asciiTheme="majorHAnsi" w:eastAsia="Times New Roman" w:hAnsiTheme="majorHAnsi" w:cstheme="majorHAnsi"/>
          <w:lang w:val="en-CA"/>
        </w:rPr>
        <w:t xml:space="preserve">Students with diverse learning styles and needs are welcome in this course. </w:t>
      </w:r>
      <w:r w:rsidR="00EC1664" w:rsidRPr="00982740">
        <w:rPr>
          <w:rFonts w:asciiTheme="majorHAnsi" w:eastAsia="Times New Roman" w:hAnsiTheme="majorHAnsi" w:cstheme="majorHAnsi"/>
          <w:lang w:val="en-CA"/>
        </w:rPr>
        <w:t>If</w:t>
      </w:r>
      <w:r w:rsidRPr="00982740">
        <w:rPr>
          <w:rFonts w:asciiTheme="majorHAnsi" w:eastAsia="Times New Roman" w:hAnsiTheme="majorHAnsi" w:cstheme="majorHAnsi"/>
          <w:lang w:val="en-CA"/>
        </w:rPr>
        <w:t xml:space="preserve"> you have a disability or health consideration that may require accommodations, please feel free to approach me</w:t>
      </w:r>
      <w:r>
        <w:rPr>
          <w:rFonts w:asciiTheme="majorHAnsi" w:eastAsia="Times New Roman" w:hAnsiTheme="majorHAnsi" w:cstheme="majorHAnsi"/>
          <w:lang w:val="en-CA"/>
        </w:rPr>
        <w:t>/us</w:t>
      </w:r>
      <w:r w:rsidRPr="00982740">
        <w:rPr>
          <w:rFonts w:asciiTheme="majorHAnsi" w:eastAsia="Times New Roman" w:hAnsiTheme="majorHAnsi" w:cstheme="majorHAnsi"/>
          <w:lang w:val="en-CA"/>
        </w:rPr>
        <w:t xml:space="preserve"> and/or the Accessibility Services Office as soon as possible. The Accessibility Services staff are available by appointment to assess specific needs, provide referrals and arrange appropriate accommodations. The sooner you let them and me know your needs, the quicker we can assist </w:t>
      </w:r>
      <w:r w:rsidRPr="00982740">
        <w:rPr>
          <w:rFonts w:asciiTheme="majorHAnsi" w:eastAsia="Times New Roman" w:hAnsiTheme="majorHAnsi" w:cstheme="majorHAnsi"/>
          <w:lang w:val="en-CA"/>
        </w:rPr>
        <w:lastRenderedPageBreak/>
        <w:t xml:space="preserve">you in achieving your learning goals in this course. </w:t>
      </w:r>
      <w:r w:rsidR="0091494E" w:rsidRPr="00982740">
        <w:rPr>
          <w:rFonts w:asciiTheme="majorHAnsi" w:hAnsiTheme="majorHAnsi" w:cstheme="majorHAnsi"/>
          <w:color w:val="212121"/>
          <w:shd w:val="clear" w:color="auto" w:fill="FFFFFF"/>
        </w:rPr>
        <w:t>For more information, or to register with Accessibility Services, please visit: </w:t>
      </w:r>
      <w:hyperlink r:id="rId23" w:tgtFrame="_blank" w:history="1">
        <w:r w:rsidR="0091494E" w:rsidRPr="00982740">
          <w:rPr>
            <w:rStyle w:val="Hyperlink"/>
            <w:rFonts w:asciiTheme="majorHAnsi" w:hAnsiTheme="majorHAnsi" w:cstheme="majorHAnsi"/>
            <w:shd w:val="clear" w:color="auto" w:fill="FFFFFF"/>
          </w:rPr>
          <w:t>http://studentlife.utoronto.ca/as</w:t>
        </w:r>
      </w:hyperlink>
      <w:r w:rsidR="0091494E" w:rsidRPr="00982740">
        <w:rPr>
          <w:rFonts w:asciiTheme="majorHAnsi" w:hAnsiTheme="majorHAnsi" w:cstheme="majorHAnsi"/>
          <w:color w:val="000000"/>
          <w:shd w:val="clear" w:color="auto" w:fill="FFFFFF"/>
        </w:rPr>
        <w:t xml:space="preserve">. </w:t>
      </w:r>
    </w:p>
    <w:p w14:paraId="049E8B90" w14:textId="1B05E3CB" w:rsidR="000B1988" w:rsidRDefault="000B1988" w:rsidP="000B1988">
      <w:pPr>
        <w:rPr>
          <w:rFonts w:asciiTheme="majorHAnsi" w:hAnsiTheme="majorHAnsi" w:cstheme="majorHAnsi"/>
        </w:rPr>
      </w:pPr>
    </w:p>
    <w:p w14:paraId="1E23A478" w14:textId="45F78CDC" w:rsidR="000D2DB5" w:rsidRPr="00082029" w:rsidRDefault="00447606" w:rsidP="000D2DB5">
      <w:pPr>
        <w:rPr>
          <w:rFonts w:asciiTheme="majorHAnsi" w:hAnsiTheme="majorHAnsi" w:cstheme="majorHAnsi"/>
          <w:i/>
          <w:iCs/>
          <w:color w:val="000000" w:themeColor="text1"/>
        </w:rPr>
      </w:pPr>
      <w:r>
        <w:rPr>
          <w:rFonts w:asciiTheme="majorHAnsi" w:hAnsiTheme="majorHAnsi" w:cstheme="majorHAnsi"/>
          <w:b/>
          <w:bCs/>
        </w:rPr>
        <w:t xml:space="preserve">Video and Audio </w:t>
      </w:r>
      <w:r w:rsidR="00344E66" w:rsidRPr="0091494E">
        <w:rPr>
          <w:rFonts w:asciiTheme="majorHAnsi" w:hAnsiTheme="majorHAnsi" w:cstheme="majorHAnsi"/>
          <w:b/>
          <w:bCs/>
        </w:rPr>
        <w:t xml:space="preserve">Recordings </w:t>
      </w:r>
      <w:r w:rsidR="00344E66" w:rsidRPr="0091494E">
        <w:rPr>
          <w:rFonts w:asciiTheme="majorHAnsi" w:hAnsiTheme="majorHAnsi" w:cstheme="majorHAnsi"/>
        </w:rPr>
        <w:br/>
      </w:r>
      <w:r w:rsidR="000D2DB5" w:rsidRPr="00082029">
        <w:rPr>
          <w:rFonts w:asciiTheme="majorHAnsi" w:hAnsiTheme="majorHAnsi" w:cstheme="majorHAnsi"/>
          <w:i/>
          <w:iCs/>
          <w:color w:val="000000" w:themeColor="text1"/>
        </w:rPr>
        <w:t xml:space="preserve">Note that permission from students is not required to record a lecture online or in-person. However, if the voices or images of students will be collected in the recordings, then there needs to be a statement on the syllabus communicating this information. </w:t>
      </w:r>
    </w:p>
    <w:p w14:paraId="5869610B" w14:textId="77777777" w:rsidR="000D2DB5" w:rsidRPr="00082029" w:rsidRDefault="000D2DB5" w:rsidP="000D2DB5">
      <w:pPr>
        <w:rPr>
          <w:rFonts w:asciiTheme="majorHAnsi" w:hAnsiTheme="majorHAnsi" w:cstheme="majorHAnsi"/>
          <w:i/>
          <w:iCs/>
          <w:color w:val="000000" w:themeColor="text1"/>
        </w:rPr>
      </w:pPr>
    </w:p>
    <w:p w14:paraId="456E6E89" w14:textId="25451129" w:rsidR="000D2DB5" w:rsidRPr="00082029" w:rsidRDefault="000D2DB5" w:rsidP="000D2DB5">
      <w:pPr>
        <w:rPr>
          <w:rFonts w:asciiTheme="majorHAnsi" w:hAnsiTheme="majorHAnsi" w:cstheme="majorHAnsi"/>
          <w:i/>
          <w:iCs/>
          <w:color w:val="000000" w:themeColor="text1"/>
        </w:rPr>
      </w:pPr>
      <w:r w:rsidRPr="00082029">
        <w:rPr>
          <w:rFonts w:asciiTheme="majorHAnsi" w:hAnsiTheme="majorHAnsi" w:cstheme="majorHAnsi"/>
          <w:i/>
          <w:iCs/>
          <w:color w:val="000000" w:themeColor="text1"/>
        </w:rPr>
        <w:t xml:space="preserve">The </w:t>
      </w:r>
      <w:r w:rsidR="008A4895" w:rsidRPr="00082029">
        <w:rPr>
          <w:rFonts w:asciiTheme="majorHAnsi" w:hAnsiTheme="majorHAnsi" w:cstheme="majorHAnsi"/>
          <w:i/>
          <w:iCs/>
          <w:color w:val="000000" w:themeColor="text1"/>
        </w:rPr>
        <w:t xml:space="preserve">Centre for Teaching Support &amp; Innovation </w:t>
      </w:r>
      <w:r w:rsidRPr="00082029">
        <w:rPr>
          <w:rFonts w:asciiTheme="majorHAnsi" w:hAnsiTheme="majorHAnsi" w:cstheme="majorHAnsi"/>
          <w:i/>
          <w:iCs/>
          <w:color w:val="000000" w:themeColor="text1"/>
        </w:rPr>
        <w:t>provides information about syllabus statements for lecture capture, and language for various course activities such as recording for remote/online courses, permissions for downloading content as well as for in-class student recordings of course content and permissions for audio recording.</w:t>
      </w:r>
      <w:r w:rsidR="008A4895" w:rsidRPr="00082029">
        <w:rPr>
          <w:rFonts w:asciiTheme="majorHAnsi" w:hAnsiTheme="majorHAnsi" w:cstheme="majorHAnsi"/>
          <w:i/>
          <w:iCs/>
          <w:color w:val="000000" w:themeColor="text1"/>
        </w:rPr>
        <w:t xml:space="preserve"> </w:t>
      </w:r>
      <w:hyperlink r:id="rId24" w:history="1">
        <w:r w:rsidR="008A4895" w:rsidRPr="00082029">
          <w:rPr>
            <w:rStyle w:val="Hyperlink"/>
            <w:rFonts w:asciiTheme="majorHAnsi" w:hAnsiTheme="majorHAnsi" w:cstheme="majorHAnsi"/>
            <w:i/>
            <w:iCs/>
            <w:color w:val="000000" w:themeColor="text1"/>
          </w:rPr>
          <w:t>https://teaching.utoronto.ca/resources/developing-a-course-syllabus/</w:t>
        </w:r>
      </w:hyperlink>
    </w:p>
    <w:p w14:paraId="26E6F491" w14:textId="77777777" w:rsidR="008A4895" w:rsidRPr="00082029" w:rsidRDefault="008A4895" w:rsidP="009A06AB">
      <w:pPr>
        <w:rPr>
          <w:rFonts w:asciiTheme="majorHAnsi" w:hAnsiTheme="majorHAnsi" w:cstheme="majorHAnsi"/>
          <w:i/>
          <w:iCs/>
          <w:color w:val="000000" w:themeColor="text1"/>
        </w:rPr>
      </w:pPr>
    </w:p>
    <w:p w14:paraId="7E3ADC40" w14:textId="1A4DD8AE" w:rsidR="003C6AD0" w:rsidRPr="00082029" w:rsidRDefault="00D220BD" w:rsidP="009A06AB">
      <w:pPr>
        <w:rPr>
          <w:rFonts w:asciiTheme="majorHAnsi" w:hAnsiTheme="majorHAnsi" w:cstheme="majorHAnsi"/>
          <w:i/>
          <w:iCs/>
          <w:color w:val="000000" w:themeColor="text1"/>
        </w:rPr>
      </w:pPr>
      <w:r w:rsidRPr="00082029">
        <w:rPr>
          <w:rFonts w:asciiTheme="majorHAnsi" w:hAnsiTheme="majorHAnsi" w:cstheme="majorHAnsi"/>
          <w:i/>
          <w:iCs/>
          <w:color w:val="000000" w:themeColor="text1"/>
        </w:rPr>
        <w:t xml:space="preserve">This resource includes </w:t>
      </w:r>
      <w:r w:rsidR="00F12B7E" w:rsidRPr="00082029">
        <w:rPr>
          <w:rFonts w:asciiTheme="majorHAnsi" w:hAnsiTheme="majorHAnsi" w:cstheme="majorHAnsi"/>
          <w:i/>
          <w:iCs/>
          <w:color w:val="000000" w:themeColor="text1"/>
        </w:rPr>
        <w:t xml:space="preserve">four </w:t>
      </w:r>
      <w:r w:rsidRPr="00082029">
        <w:rPr>
          <w:rFonts w:asciiTheme="majorHAnsi" w:hAnsiTheme="majorHAnsi" w:cstheme="majorHAnsi"/>
          <w:i/>
          <w:iCs/>
          <w:color w:val="000000" w:themeColor="text1"/>
        </w:rPr>
        <w:t xml:space="preserve">examples </w:t>
      </w:r>
      <w:r w:rsidR="00F12B7E" w:rsidRPr="00082029">
        <w:rPr>
          <w:rFonts w:asciiTheme="majorHAnsi" w:hAnsiTheme="majorHAnsi" w:cstheme="majorHAnsi"/>
          <w:i/>
          <w:iCs/>
          <w:color w:val="000000" w:themeColor="text1"/>
        </w:rPr>
        <w:t>in two categories.</w:t>
      </w:r>
    </w:p>
    <w:p w14:paraId="70029738" w14:textId="606D48F8" w:rsidR="00CF69C1" w:rsidRPr="00082029" w:rsidRDefault="00F12B7E" w:rsidP="00611E55">
      <w:pPr>
        <w:pStyle w:val="ListParagraph"/>
        <w:numPr>
          <w:ilvl w:val="0"/>
          <w:numId w:val="10"/>
        </w:numPr>
        <w:rPr>
          <w:rFonts w:asciiTheme="majorHAnsi" w:hAnsiTheme="majorHAnsi" w:cstheme="majorHAnsi"/>
          <w:i/>
          <w:iCs/>
          <w:color w:val="000000" w:themeColor="text1"/>
        </w:rPr>
      </w:pPr>
      <w:r w:rsidRPr="00082029">
        <w:rPr>
          <w:rFonts w:asciiTheme="majorHAnsi" w:hAnsiTheme="majorHAnsi" w:cstheme="majorHAnsi"/>
          <w:i/>
          <w:iCs/>
          <w:color w:val="000000" w:themeColor="text1"/>
        </w:rPr>
        <w:t>Instructor Recording</w:t>
      </w:r>
      <w:r w:rsidR="00C07791" w:rsidRPr="00082029">
        <w:rPr>
          <w:rFonts w:asciiTheme="majorHAnsi" w:hAnsiTheme="majorHAnsi" w:cstheme="majorHAnsi"/>
          <w:i/>
          <w:iCs/>
          <w:color w:val="000000" w:themeColor="text1"/>
        </w:rPr>
        <w:t xml:space="preserve"> in Remote/Online courses</w:t>
      </w:r>
    </w:p>
    <w:p w14:paraId="7DD9DAC8" w14:textId="2465C9FC" w:rsidR="00611E55" w:rsidRPr="00082029" w:rsidRDefault="00611E55" w:rsidP="00F12B7E">
      <w:pPr>
        <w:pStyle w:val="ListParagraph"/>
        <w:numPr>
          <w:ilvl w:val="1"/>
          <w:numId w:val="10"/>
        </w:numPr>
        <w:rPr>
          <w:rFonts w:asciiTheme="majorHAnsi" w:hAnsiTheme="majorHAnsi" w:cstheme="majorHAnsi"/>
          <w:i/>
          <w:iCs/>
          <w:color w:val="000000" w:themeColor="text1"/>
        </w:rPr>
      </w:pPr>
      <w:r w:rsidRPr="00082029">
        <w:rPr>
          <w:rFonts w:asciiTheme="majorHAnsi" w:hAnsiTheme="majorHAnsi" w:cstheme="majorHAnsi"/>
          <w:i/>
          <w:iCs/>
          <w:color w:val="000000" w:themeColor="text1"/>
        </w:rPr>
        <w:t>Example 1: Notice of video recording and sharing (Download and re-use prohibited)</w:t>
      </w:r>
    </w:p>
    <w:p w14:paraId="29FC7F84" w14:textId="4C4F1DDD" w:rsidR="00611E55" w:rsidRPr="00082029" w:rsidRDefault="000F1156" w:rsidP="00F12B7E">
      <w:pPr>
        <w:pStyle w:val="ListParagraph"/>
        <w:numPr>
          <w:ilvl w:val="1"/>
          <w:numId w:val="10"/>
        </w:numPr>
        <w:rPr>
          <w:rFonts w:asciiTheme="majorHAnsi" w:hAnsiTheme="majorHAnsi" w:cstheme="majorHAnsi"/>
          <w:i/>
          <w:iCs/>
          <w:color w:val="000000" w:themeColor="text1"/>
        </w:rPr>
      </w:pPr>
      <w:r w:rsidRPr="00082029">
        <w:rPr>
          <w:rFonts w:asciiTheme="majorHAnsi" w:hAnsiTheme="majorHAnsi" w:cstheme="majorHAnsi"/>
          <w:i/>
          <w:iCs/>
          <w:color w:val="000000" w:themeColor="text1"/>
        </w:rPr>
        <w:t>Example 2: Notice of video recording and sharing (Download permissible; re-use prohibited)</w:t>
      </w:r>
    </w:p>
    <w:p w14:paraId="44D34683" w14:textId="2E76FD7B" w:rsidR="000F1156" w:rsidRPr="00082029" w:rsidRDefault="000D2DB5" w:rsidP="00611E55">
      <w:pPr>
        <w:pStyle w:val="ListParagraph"/>
        <w:numPr>
          <w:ilvl w:val="0"/>
          <w:numId w:val="10"/>
        </w:numPr>
        <w:rPr>
          <w:rFonts w:asciiTheme="majorHAnsi" w:hAnsiTheme="majorHAnsi" w:cstheme="majorHAnsi"/>
          <w:i/>
          <w:iCs/>
          <w:color w:val="000000" w:themeColor="text1"/>
        </w:rPr>
      </w:pPr>
      <w:r w:rsidRPr="00082029">
        <w:rPr>
          <w:rFonts w:asciiTheme="majorHAnsi" w:hAnsiTheme="majorHAnsi" w:cstheme="majorHAnsi"/>
          <w:i/>
          <w:iCs/>
          <w:color w:val="000000" w:themeColor="text1"/>
        </w:rPr>
        <w:t>In Class Student Recording of Course Content</w:t>
      </w:r>
    </w:p>
    <w:p w14:paraId="2D4D626D" w14:textId="026ABFF3" w:rsidR="000D2DB5" w:rsidRPr="00082029" w:rsidRDefault="000D2DB5" w:rsidP="000D2DB5">
      <w:pPr>
        <w:pStyle w:val="ListParagraph"/>
        <w:numPr>
          <w:ilvl w:val="1"/>
          <w:numId w:val="10"/>
        </w:numPr>
        <w:rPr>
          <w:rFonts w:asciiTheme="majorHAnsi" w:hAnsiTheme="majorHAnsi" w:cstheme="majorHAnsi"/>
          <w:i/>
          <w:iCs/>
          <w:color w:val="000000" w:themeColor="text1"/>
        </w:rPr>
      </w:pPr>
      <w:r w:rsidRPr="00082029">
        <w:rPr>
          <w:rFonts w:asciiTheme="majorHAnsi" w:hAnsiTheme="majorHAnsi" w:cstheme="majorHAnsi"/>
          <w:i/>
          <w:iCs/>
          <w:color w:val="000000" w:themeColor="text1"/>
        </w:rPr>
        <w:t>Example 1: Instructor Permits Audio Recordings (No Distribution Rights)</w:t>
      </w:r>
      <w:r w:rsidRPr="00082029">
        <w:rPr>
          <w:rFonts w:ascii="MS Gothic" w:eastAsia="MS Gothic" w:hAnsi="MS Gothic" w:cs="MS Gothic" w:hint="eastAsia"/>
          <w:i/>
          <w:iCs/>
          <w:color w:val="000000" w:themeColor="text1"/>
        </w:rPr>
        <w:t> </w:t>
      </w:r>
    </w:p>
    <w:p w14:paraId="7E3BC59A" w14:textId="1957273D" w:rsidR="000D2DB5" w:rsidRPr="00082029" w:rsidRDefault="000D2DB5" w:rsidP="000D2DB5">
      <w:pPr>
        <w:pStyle w:val="ListParagraph"/>
        <w:numPr>
          <w:ilvl w:val="1"/>
          <w:numId w:val="10"/>
        </w:numPr>
        <w:rPr>
          <w:rFonts w:asciiTheme="majorHAnsi" w:hAnsiTheme="majorHAnsi" w:cstheme="majorHAnsi"/>
          <w:i/>
          <w:iCs/>
          <w:color w:val="000000" w:themeColor="text1"/>
        </w:rPr>
      </w:pPr>
      <w:r w:rsidRPr="00082029">
        <w:rPr>
          <w:rFonts w:asciiTheme="majorHAnsi" w:hAnsiTheme="majorHAnsi" w:cstheme="majorHAnsi"/>
          <w:i/>
          <w:iCs/>
          <w:color w:val="000000" w:themeColor="text1"/>
        </w:rPr>
        <w:t>Example 2: Instructor Forbids Audio Recordings</w:t>
      </w:r>
      <w:r w:rsidRPr="00082029">
        <w:rPr>
          <w:rFonts w:ascii="MS Gothic" w:eastAsia="MS Gothic" w:hAnsi="MS Gothic" w:cs="MS Gothic" w:hint="eastAsia"/>
          <w:i/>
          <w:iCs/>
          <w:color w:val="000000" w:themeColor="text1"/>
        </w:rPr>
        <w:t> </w:t>
      </w:r>
    </w:p>
    <w:p w14:paraId="10721BBB" w14:textId="77777777" w:rsidR="000B1988" w:rsidRPr="0091494E" w:rsidRDefault="000B1988" w:rsidP="00EB17A6">
      <w:pPr>
        <w:rPr>
          <w:rFonts w:asciiTheme="majorHAnsi" w:hAnsiTheme="majorHAnsi" w:cstheme="majorHAnsi"/>
        </w:rPr>
      </w:pPr>
    </w:p>
    <w:p w14:paraId="2CA1C3F6" w14:textId="77777777" w:rsidR="00C972C2" w:rsidRPr="0091494E" w:rsidRDefault="00C972C2" w:rsidP="00C972C2">
      <w:pPr>
        <w:rPr>
          <w:rFonts w:asciiTheme="majorHAnsi" w:hAnsiTheme="majorHAnsi" w:cstheme="majorHAnsi"/>
        </w:rPr>
      </w:pPr>
      <w:r w:rsidRPr="0091494E">
        <w:rPr>
          <w:rFonts w:asciiTheme="majorHAnsi" w:hAnsiTheme="majorHAnsi" w:cstheme="majorHAnsi"/>
          <w:b/>
          <w:bCs/>
        </w:rPr>
        <w:t>Required texts or readings</w:t>
      </w:r>
    </w:p>
    <w:p w14:paraId="54E78909" w14:textId="77777777" w:rsidR="00C972C2" w:rsidRPr="00993D83" w:rsidRDefault="00C972C2" w:rsidP="00C972C2">
      <w:pPr>
        <w:numPr>
          <w:ilvl w:val="0"/>
          <w:numId w:val="5"/>
        </w:numPr>
        <w:rPr>
          <w:rFonts w:asciiTheme="majorHAnsi" w:hAnsiTheme="majorHAnsi" w:cstheme="majorHAnsi"/>
          <w:i/>
          <w:iCs/>
        </w:rPr>
      </w:pPr>
      <w:r w:rsidRPr="00993D83">
        <w:rPr>
          <w:rFonts w:asciiTheme="majorHAnsi" w:hAnsiTheme="majorHAnsi" w:cstheme="majorHAnsi"/>
          <w:i/>
          <w:iCs/>
        </w:rPr>
        <w:t>Provide the details of any required texts for the course, including URLs where students can obtain copies</w:t>
      </w:r>
    </w:p>
    <w:p w14:paraId="518101D9" w14:textId="77777777" w:rsidR="00C972C2" w:rsidRPr="00993D83" w:rsidRDefault="00C972C2" w:rsidP="00C972C2">
      <w:pPr>
        <w:numPr>
          <w:ilvl w:val="0"/>
          <w:numId w:val="5"/>
        </w:numPr>
        <w:rPr>
          <w:rFonts w:asciiTheme="majorHAnsi" w:hAnsiTheme="majorHAnsi" w:cstheme="majorHAnsi"/>
          <w:i/>
          <w:iCs/>
        </w:rPr>
      </w:pPr>
      <w:r w:rsidRPr="00993D83">
        <w:rPr>
          <w:rFonts w:asciiTheme="majorHAnsi" w:hAnsiTheme="majorHAnsi" w:cstheme="majorHAnsi"/>
          <w:i/>
          <w:iCs/>
        </w:rPr>
        <w:t>Indicate if any of the details for accessing via library services</w:t>
      </w:r>
    </w:p>
    <w:p w14:paraId="5D30CB08" w14:textId="77777777" w:rsidR="00C972C2" w:rsidRPr="00993D83" w:rsidRDefault="00C972C2" w:rsidP="00C972C2">
      <w:pPr>
        <w:numPr>
          <w:ilvl w:val="0"/>
          <w:numId w:val="5"/>
        </w:numPr>
        <w:rPr>
          <w:rFonts w:asciiTheme="majorHAnsi" w:hAnsiTheme="majorHAnsi" w:cstheme="majorHAnsi"/>
          <w:i/>
          <w:iCs/>
        </w:rPr>
      </w:pPr>
      <w:r w:rsidRPr="00993D83">
        <w:rPr>
          <w:rFonts w:asciiTheme="majorHAnsi" w:hAnsiTheme="majorHAnsi" w:cstheme="majorHAnsi"/>
          <w:i/>
          <w:iCs/>
        </w:rPr>
        <w:t>Include additional recommended readings if applicable</w:t>
      </w:r>
    </w:p>
    <w:p w14:paraId="33E9CCA5" w14:textId="77777777" w:rsidR="00C972C2" w:rsidRPr="00993D83" w:rsidRDefault="00C972C2" w:rsidP="00C972C2">
      <w:pPr>
        <w:numPr>
          <w:ilvl w:val="0"/>
          <w:numId w:val="5"/>
        </w:numPr>
        <w:rPr>
          <w:rFonts w:asciiTheme="majorHAnsi" w:hAnsiTheme="majorHAnsi" w:cstheme="majorHAnsi"/>
          <w:i/>
          <w:iCs/>
        </w:rPr>
      </w:pPr>
      <w:r w:rsidRPr="00993D83">
        <w:rPr>
          <w:rFonts w:asciiTheme="majorHAnsi" w:hAnsiTheme="majorHAnsi" w:cstheme="majorHAnsi"/>
          <w:i/>
          <w:iCs/>
        </w:rPr>
        <w:t>Indicate what material is also (or exclusively) available on the course web site (if applicable)</w:t>
      </w:r>
    </w:p>
    <w:p w14:paraId="326D7802" w14:textId="77777777" w:rsidR="00C972C2" w:rsidRPr="0091494E" w:rsidRDefault="00C972C2" w:rsidP="00EB17A6">
      <w:pPr>
        <w:rPr>
          <w:rFonts w:asciiTheme="majorHAnsi" w:hAnsiTheme="majorHAnsi" w:cstheme="majorHAnsi"/>
        </w:rPr>
      </w:pPr>
    </w:p>
    <w:p w14:paraId="6D6667CD" w14:textId="318750C7" w:rsidR="00EB17A6" w:rsidRDefault="00EB17A6">
      <w:pPr>
        <w:rPr>
          <w:rFonts w:asciiTheme="majorHAnsi" w:hAnsiTheme="majorHAnsi" w:cstheme="majorHAnsi"/>
          <w:i/>
          <w:iCs/>
        </w:rPr>
      </w:pPr>
      <w:r w:rsidRPr="0091494E">
        <w:rPr>
          <w:rFonts w:asciiTheme="majorHAnsi" w:hAnsiTheme="majorHAnsi" w:cstheme="majorHAnsi"/>
          <w:b/>
          <w:bCs/>
        </w:rPr>
        <w:t>Week-by-week breakdown of in-class activities</w:t>
      </w:r>
      <w:r w:rsidRPr="0091494E">
        <w:rPr>
          <w:rFonts w:asciiTheme="majorHAnsi" w:hAnsiTheme="majorHAnsi" w:cstheme="majorHAnsi"/>
        </w:rPr>
        <w:br/>
      </w:r>
      <w:r w:rsidR="00990CA0" w:rsidRPr="0091494E">
        <w:rPr>
          <w:rFonts w:asciiTheme="majorHAnsi" w:hAnsiTheme="majorHAnsi" w:cstheme="majorHAnsi"/>
          <w:i/>
          <w:iCs/>
        </w:rPr>
        <w:t>Provide</w:t>
      </w:r>
      <w:r w:rsidRPr="0091494E">
        <w:rPr>
          <w:rFonts w:asciiTheme="majorHAnsi" w:hAnsiTheme="majorHAnsi" w:cstheme="majorHAnsi"/>
          <w:i/>
          <w:iCs/>
        </w:rPr>
        <w:t xml:space="preserve"> a weekly breakdown of the material to be covered in class</w:t>
      </w:r>
      <w:r w:rsidR="00990CA0" w:rsidRPr="0091494E">
        <w:rPr>
          <w:rFonts w:asciiTheme="majorHAnsi" w:hAnsiTheme="majorHAnsi" w:cstheme="majorHAnsi"/>
          <w:i/>
          <w:iCs/>
        </w:rPr>
        <w:t xml:space="preserve">, </w:t>
      </w:r>
      <w:r w:rsidR="006E4138" w:rsidRPr="0091494E">
        <w:rPr>
          <w:rFonts w:asciiTheme="majorHAnsi" w:hAnsiTheme="majorHAnsi" w:cstheme="majorHAnsi"/>
          <w:i/>
          <w:iCs/>
        </w:rPr>
        <w:t>activities,</w:t>
      </w:r>
      <w:r w:rsidR="00990CA0" w:rsidRPr="0091494E">
        <w:rPr>
          <w:rFonts w:asciiTheme="majorHAnsi" w:hAnsiTheme="majorHAnsi" w:cstheme="majorHAnsi"/>
          <w:i/>
          <w:iCs/>
        </w:rPr>
        <w:t xml:space="preserve"> and assignments. </w:t>
      </w:r>
      <w:r w:rsidRPr="0091494E">
        <w:rPr>
          <w:rFonts w:asciiTheme="majorHAnsi" w:hAnsiTheme="majorHAnsi" w:cstheme="majorHAnsi"/>
          <w:i/>
          <w:iCs/>
        </w:rPr>
        <w:t xml:space="preserve">Required and recommended readings may also be </w:t>
      </w:r>
      <w:r w:rsidR="00990CA0" w:rsidRPr="0091494E">
        <w:rPr>
          <w:rFonts w:asciiTheme="majorHAnsi" w:hAnsiTheme="majorHAnsi" w:cstheme="majorHAnsi"/>
          <w:i/>
          <w:iCs/>
        </w:rPr>
        <w:t>include</w:t>
      </w:r>
      <w:r w:rsidRPr="0091494E">
        <w:rPr>
          <w:rFonts w:asciiTheme="majorHAnsi" w:hAnsiTheme="majorHAnsi" w:cstheme="majorHAnsi"/>
          <w:i/>
          <w:iCs/>
        </w:rPr>
        <w:t>d.</w:t>
      </w:r>
    </w:p>
    <w:p w14:paraId="255C48EE" w14:textId="6066A3AE" w:rsidR="00993D83" w:rsidRDefault="00993D83">
      <w:pPr>
        <w:rPr>
          <w:rFonts w:asciiTheme="majorHAnsi" w:hAnsiTheme="majorHAnsi" w:cstheme="majorHAnsi"/>
          <w:i/>
          <w:iCs/>
        </w:rPr>
      </w:pPr>
    </w:p>
    <w:tbl>
      <w:tblP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009"/>
        <w:gridCol w:w="1979"/>
        <w:gridCol w:w="1976"/>
      </w:tblGrid>
      <w:tr w:rsidR="00993D83" w:rsidRPr="007D103C" w14:paraId="2657F60D" w14:textId="2A1AAF66" w:rsidTr="004F3F78">
        <w:trPr>
          <w:trHeight w:val="273"/>
          <w:tblHeader/>
        </w:trPr>
        <w:tc>
          <w:tcPr>
            <w:tcW w:w="1497" w:type="dxa"/>
            <w:shd w:val="pct12" w:color="auto" w:fill="auto"/>
          </w:tcPr>
          <w:p w14:paraId="58781CE7" w14:textId="77777777" w:rsidR="00993D83" w:rsidRPr="007D103C" w:rsidRDefault="00993D83" w:rsidP="00662930">
            <w:pPr>
              <w:rPr>
                <w:b/>
                <w:bCs/>
              </w:rPr>
            </w:pPr>
            <w:r w:rsidRPr="007D103C">
              <w:rPr>
                <w:b/>
                <w:bCs/>
              </w:rPr>
              <w:t>Session/Date</w:t>
            </w:r>
          </w:p>
        </w:tc>
        <w:tc>
          <w:tcPr>
            <w:tcW w:w="3034" w:type="dxa"/>
            <w:shd w:val="pct12" w:color="auto" w:fill="auto"/>
          </w:tcPr>
          <w:p w14:paraId="12F9B9CA" w14:textId="77777777" w:rsidR="00993D83" w:rsidRPr="007D103C" w:rsidRDefault="00993D83" w:rsidP="00662930">
            <w:pPr>
              <w:rPr>
                <w:b/>
                <w:bCs/>
              </w:rPr>
            </w:pPr>
            <w:r w:rsidRPr="007D103C">
              <w:rPr>
                <w:b/>
                <w:bCs/>
              </w:rPr>
              <w:t>Topic</w:t>
            </w:r>
          </w:p>
        </w:tc>
        <w:tc>
          <w:tcPr>
            <w:tcW w:w="1985" w:type="dxa"/>
            <w:shd w:val="pct12" w:color="auto" w:fill="auto"/>
          </w:tcPr>
          <w:p w14:paraId="6DDA7F6E" w14:textId="1D461F1C" w:rsidR="004D1A63" w:rsidRPr="007D103C" w:rsidRDefault="004D1A63" w:rsidP="00662930">
            <w:pPr>
              <w:rPr>
                <w:b/>
                <w:bCs/>
              </w:rPr>
            </w:pPr>
            <w:r w:rsidRPr="007D103C">
              <w:rPr>
                <w:b/>
                <w:bCs/>
              </w:rPr>
              <w:t>Readings and</w:t>
            </w:r>
          </w:p>
          <w:p w14:paraId="11593521" w14:textId="01AD3BC4" w:rsidR="00993D83" w:rsidRPr="007D103C" w:rsidRDefault="00993D83" w:rsidP="00662930">
            <w:pPr>
              <w:rPr>
                <w:b/>
                <w:bCs/>
              </w:rPr>
            </w:pPr>
            <w:r w:rsidRPr="007D103C">
              <w:rPr>
                <w:b/>
                <w:bCs/>
              </w:rPr>
              <w:t>Assignments Due</w:t>
            </w:r>
          </w:p>
        </w:tc>
        <w:tc>
          <w:tcPr>
            <w:tcW w:w="1985" w:type="dxa"/>
            <w:shd w:val="pct12" w:color="auto" w:fill="auto"/>
          </w:tcPr>
          <w:p w14:paraId="75E65F6C" w14:textId="4031B552" w:rsidR="00993D83" w:rsidRPr="007D103C" w:rsidRDefault="00777DC9" w:rsidP="00662930">
            <w:pPr>
              <w:rPr>
                <w:b/>
                <w:bCs/>
              </w:rPr>
            </w:pPr>
            <w:r w:rsidRPr="007D103C">
              <w:rPr>
                <w:b/>
                <w:bCs/>
              </w:rPr>
              <w:t xml:space="preserve">Lead </w:t>
            </w:r>
            <w:r w:rsidR="00993D83" w:rsidRPr="007D103C">
              <w:rPr>
                <w:b/>
                <w:bCs/>
              </w:rPr>
              <w:t>Instructor</w:t>
            </w:r>
          </w:p>
          <w:p w14:paraId="5CC79E71" w14:textId="4689AEB1" w:rsidR="00777DC9" w:rsidRPr="007D103C" w:rsidRDefault="00777DC9" w:rsidP="00662930">
            <w:pPr>
              <w:rPr>
                <w:b/>
                <w:bCs/>
                <w:i/>
                <w:iCs/>
              </w:rPr>
            </w:pPr>
            <w:r w:rsidRPr="007D103C">
              <w:rPr>
                <w:b/>
                <w:bCs/>
                <w:i/>
                <w:iCs/>
              </w:rPr>
              <w:t>(optional)</w:t>
            </w:r>
          </w:p>
        </w:tc>
      </w:tr>
      <w:tr w:rsidR="00993D83" w:rsidRPr="007E71E9" w14:paraId="54C7B810" w14:textId="71162C57" w:rsidTr="00993D83">
        <w:trPr>
          <w:trHeight w:val="273"/>
        </w:trPr>
        <w:tc>
          <w:tcPr>
            <w:tcW w:w="1497" w:type="dxa"/>
          </w:tcPr>
          <w:p w14:paraId="60E05399" w14:textId="77777777" w:rsidR="00993D83" w:rsidRPr="007E71E9" w:rsidRDefault="00993D83" w:rsidP="00662930"/>
        </w:tc>
        <w:tc>
          <w:tcPr>
            <w:tcW w:w="3034" w:type="dxa"/>
          </w:tcPr>
          <w:p w14:paraId="18F411CA" w14:textId="77777777" w:rsidR="00993D83" w:rsidRPr="007E71E9" w:rsidRDefault="00993D83" w:rsidP="00662930"/>
        </w:tc>
        <w:tc>
          <w:tcPr>
            <w:tcW w:w="1985" w:type="dxa"/>
          </w:tcPr>
          <w:p w14:paraId="665B39DD" w14:textId="77777777" w:rsidR="00993D83" w:rsidRPr="007E71E9" w:rsidRDefault="00993D83" w:rsidP="00662930"/>
        </w:tc>
        <w:tc>
          <w:tcPr>
            <w:tcW w:w="1985" w:type="dxa"/>
          </w:tcPr>
          <w:p w14:paraId="7AAFF6E5" w14:textId="77777777" w:rsidR="00993D83" w:rsidRPr="007E71E9" w:rsidRDefault="00993D83" w:rsidP="00662930"/>
        </w:tc>
      </w:tr>
      <w:tr w:rsidR="00993D83" w:rsidRPr="007E71E9" w14:paraId="0AE75E06" w14:textId="4B9FA19B" w:rsidTr="00993D83">
        <w:trPr>
          <w:trHeight w:val="273"/>
        </w:trPr>
        <w:tc>
          <w:tcPr>
            <w:tcW w:w="1497" w:type="dxa"/>
          </w:tcPr>
          <w:p w14:paraId="29BB59B3" w14:textId="77777777" w:rsidR="00993D83" w:rsidRPr="007E71E9" w:rsidRDefault="00993D83" w:rsidP="00662930"/>
        </w:tc>
        <w:tc>
          <w:tcPr>
            <w:tcW w:w="3034" w:type="dxa"/>
          </w:tcPr>
          <w:p w14:paraId="136CEF79" w14:textId="77777777" w:rsidR="00993D83" w:rsidRPr="007E71E9" w:rsidRDefault="00993D83" w:rsidP="00662930"/>
        </w:tc>
        <w:tc>
          <w:tcPr>
            <w:tcW w:w="1985" w:type="dxa"/>
          </w:tcPr>
          <w:p w14:paraId="552BC312" w14:textId="77777777" w:rsidR="00993D83" w:rsidRPr="007E71E9" w:rsidRDefault="00993D83" w:rsidP="00662930"/>
        </w:tc>
        <w:tc>
          <w:tcPr>
            <w:tcW w:w="1985" w:type="dxa"/>
          </w:tcPr>
          <w:p w14:paraId="46079F3C" w14:textId="77777777" w:rsidR="00993D83" w:rsidRPr="007E71E9" w:rsidRDefault="00993D83" w:rsidP="00662930"/>
        </w:tc>
      </w:tr>
      <w:tr w:rsidR="00993D83" w:rsidRPr="007E71E9" w14:paraId="7243B7B0" w14:textId="2D74982A" w:rsidTr="00993D83">
        <w:trPr>
          <w:trHeight w:val="273"/>
        </w:trPr>
        <w:tc>
          <w:tcPr>
            <w:tcW w:w="1497" w:type="dxa"/>
          </w:tcPr>
          <w:p w14:paraId="3946290E" w14:textId="77777777" w:rsidR="00993D83" w:rsidRPr="007E71E9" w:rsidRDefault="00993D83" w:rsidP="00662930"/>
        </w:tc>
        <w:tc>
          <w:tcPr>
            <w:tcW w:w="3034" w:type="dxa"/>
          </w:tcPr>
          <w:p w14:paraId="53A1D60D" w14:textId="77777777" w:rsidR="00993D83" w:rsidRPr="007E71E9" w:rsidRDefault="00993D83" w:rsidP="00662930"/>
        </w:tc>
        <w:tc>
          <w:tcPr>
            <w:tcW w:w="1985" w:type="dxa"/>
          </w:tcPr>
          <w:p w14:paraId="029D9402" w14:textId="77777777" w:rsidR="00993D83" w:rsidRPr="007E71E9" w:rsidRDefault="00993D83" w:rsidP="00662930"/>
        </w:tc>
        <w:tc>
          <w:tcPr>
            <w:tcW w:w="1985" w:type="dxa"/>
          </w:tcPr>
          <w:p w14:paraId="6CFE5527" w14:textId="77777777" w:rsidR="00993D83" w:rsidRPr="007E71E9" w:rsidRDefault="00993D83" w:rsidP="00662930"/>
        </w:tc>
      </w:tr>
      <w:tr w:rsidR="00993D83" w:rsidRPr="007E71E9" w14:paraId="6C73BFCA" w14:textId="7415A776" w:rsidTr="00993D83">
        <w:trPr>
          <w:trHeight w:val="263"/>
        </w:trPr>
        <w:tc>
          <w:tcPr>
            <w:tcW w:w="1497" w:type="dxa"/>
          </w:tcPr>
          <w:p w14:paraId="199CE6F7" w14:textId="77777777" w:rsidR="00993D83" w:rsidRPr="007E71E9" w:rsidRDefault="00993D83" w:rsidP="00662930"/>
        </w:tc>
        <w:tc>
          <w:tcPr>
            <w:tcW w:w="3034" w:type="dxa"/>
          </w:tcPr>
          <w:p w14:paraId="33555205" w14:textId="77777777" w:rsidR="00993D83" w:rsidRPr="007E71E9" w:rsidRDefault="00993D83" w:rsidP="00662930"/>
        </w:tc>
        <w:tc>
          <w:tcPr>
            <w:tcW w:w="1985" w:type="dxa"/>
          </w:tcPr>
          <w:p w14:paraId="6B385DCF" w14:textId="77777777" w:rsidR="00993D83" w:rsidRPr="007E71E9" w:rsidRDefault="00993D83" w:rsidP="00662930"/>
        </w:tc>
        <w:tc>
          <w:tcPr>
            <w:tcW w:w="1985" w:type="dxa"/>
          </w:tcPr>
          <w:p w14:paraId="7DC64217" w14:textId="77777777" w:rsidR="00993D83" w:rsidRPr="007E71E9" w:rsidRDefault="00993D83" w:rsidP="00662930"/>
        </w:tc>
      </w:tr>
    </w:tbl>
    <w:p w14:paraId="5CA24684" w14:textId="520577BA" w:rsidR="00993D83" w:rsidRDefault="00993D83">
      <w:pPr>
        <w:rPr>
          <w:rFonts w:asciiTheme="majorHAnsi" w:hAnsiTheme="majorHAnsi" w:cstheme="majorHAnsi"/>
          <w:i/>
          <w:iCs/>
        </w:rPr>
      </w:pPr>
    </w:p>
    <w:p w14:paraId="36CF080B" w14:textId="42C156F2" w:rsidR="003C735A" w:rsidRPr="00662242" w:rsidRDefault="003C735A">
      <w:pPr>
        <w:rPr>
          <w:rFonts w:asciiTheme="majorHAnsi" w:hAnsiTheme="majorHAnsi" w:cstheme="majorHAnsi"/>
          <w:b/>
          <w:bCs/>
          <w:sz w:val="32"/>
          <w:szCs w:val="32"/>
        </w:rPr>
      </w:pPr>
      <w:r w:rsidRPr="00662242">
        <w:rPr>
          <w:rFonts w:asciiTheme="majorHAnsi" w:hAnsiTheme="majorHAnsi" w:cstheme="majorHAnsi"/>
          <w:b/>
          <w:bCs/>
          <w:sz w:val="32"/>
          <w:szCs w:val="32"/>
        </w:rPr>
        <w:lastRenderedPageBreak/>
        <w:t>Student Support Services</w:t>
      </w:r>
    </w:p>
    <w:p w14:paraId="2486C156" w14:textId="77777777" w:rsidR="003C735A" w:rsidRPr="00E82FC7" w:rsidRDefault="003C735A" w:rsidP="003C735A">
      <w:pPr>
        <w:rPr>
          <w:rFonts w:asciiTheme="majorHAnsi" w:eastAsia="Times New Roman" w:hAnsiTheme="majorHAnsi" w:cstheme="majorHAnsi"/>
          <w:b/>
          <w:bCs/>
          <w:lang w:val="en-CA"/>
        </w:rPr>
      </w:pPr>
      <w:r>
        <w:rPr>
          <w:rFonts w:asciiTheme="majorHAnsi" w:eastAsia="Times New Roman" w:hAnsiTheme="majorHAnsi" w:cstheme="majorHAnsi"/>
          <w:b/>
          <w:bCs/>
          <w:lang w:val="en-CA"/>
        </w:rPr>
        <w:t xml:space="preserve">Student </w:t>
      </w:r>
      <w:r w:rsidRPr="00E82FC7">
        <w:rPr>
          <w:rFonts w:asciiTheme="majorHAnsi" w:eastAsia="Times New Roman" w:hAnsiTheme="majorHAnsi" w:cstheme="majorHAnsi"/>
          <w:b/>
          <w:bCs/>
          <w:lang w:val="en-CA"/>
        </w:rPr>
        <w:t>Mental Health Resources</w:t>
      </w:r>
    </w:p>
    <w:p w14:paraId="60B3C89F" w14:textId="77777777" w:rsidR="003C735A" w:rsidRPr="00322635" w:rsidRDefault="001F64AA" w:rsidP="003C735A">
      <w:pPr>
        <w:numPr>
          <w:ilvl w:val="0"/>
          <w:numId w:val="12"/>
        </w:numPr>
        <w:rPr>
          <w:rFonts w:asciiTheme="majorHAnsi" w:eastAsia="Times New Roman" w:hAnsiTheme="majorHAnsi" w:cstheme="majorHAnsi"/>
          <w:lang w:val="en-CA"/>
        </w:rPr>
      </w:pPr>
      <w:hyperlink r:id="rId25" w:history="1">
        <w:r w:rsidR="003C735A" w:rsidRPr="00E82FC7">
          <w:rPr>
            <w:rStyle w:val="Hyperlink"/>
            <w:rFonts w:asciiTheme="majorHAnsi" w:eastAsia="Times New Roman" w:hAnsiTheme="majorHAnsi" w:cstheme="majorHAnsi"/>
          </w:rPr>
          <w:t>U of T</w:t>
        </w:r>
        <w:r w:rsidR="003C735A">
          <w:rPr>
            <w:rStyle w:val="Hyperlink"/>
            <w:rFonts w:asciiTheme="majorHAnsi" w:eastAsia="Times New Roman" w:hAnsiTheme="majorHAnsi" w:cstheme="majorHAnsi"/>
          </w:rPr>
          <w:t>’s Central Hub for Student</w:t>
        </w:r>
        <w:r w:rsidR="003C735A" w:rsidRPr="00E82FC7">
          <w:rPr>
            <w:rStyle w:val="Hyperlink"/>
            <w:rFonts w:asciiTheme="majorHAnsi" w:eastAsia="Times New Roman" w:hAnsiTheme="majorHAnsi" w:cstheme="majorHAnsi"/>
          </w:rPr>
          <w:t xml:space="preserve"> Mental Healt</w:t>
        </w:r>
        <w:r w:rsidR="003C735A">
          <w:rPr>
            <w:rStyle w:val="Hyperlink"/>
            <w:rFonts w:asciiTheme="majorHAnsi" w:eastAsia="Times New Roman" w:hAnsiTheme="majorHAnsi" w:cstheme="majorHAnsi"/>
          </w:rPr>
          <w:t>h Resources</w:t>
        </w:r>
      </w:hyperlink>
    </w:p>
    <w:p w14:paraId="6C24676E" w14:textId="77777777" w:rsidR="003C735A" w:rsidRPr="00E82FC7" w:rsidRDefault="001F64AA" w:rsidP="003C735A">
      <w:pPr>
        <w:numPr>
          <w:ilvl w:val="0"/>
          <w:numId w:val="12"/>
        </w:numPr>
        <w:rPr>
          <w:rFonts w:asciiTheme="majorHAnsi" w:eastAsia="Times New Roman" w:hAnsiTheme="majorHAnsi" w:cstheme="majorHAnsi"/>
          <w:lang w:val="en-CA"/>
        </w:rPr>
      </w:pPr>
      <w:hyperlink r:id="rId26" w:history="1">
        <w:r w:rsidR="003C735A" w:rsidRPr="00E82FC7">
          <w:rPr>
            <w:rStyle w:val="Hyperlink"/>
            <w:rFonts w:asciiTheme="majorHAnsi" w:eastAsia="Times New Roman" w:hAnsiTheme="majorHAnsi" w:cstheme="majorHAnsi"/>
          </w:rPr>
          <w:t>SGS Graduate Wellness Services</w:t>
        </w:r>
      </w:hyperlink>
      <w:r w:rsidR="003C735A" w:rsidRPr="00E82FC7">
        <w:rPr>
          <w:rFonts w:asciiTheme="majorHAnsi" w:eastAsia="Times New Roman" w:hAnsiTheme="majorHAnsi" w:cstheme="majorHAnsi"/>
        </w:rPr>
        <w:t> </w:t>
      </w:r>
      <w:r w:rsidR="003C735A" w:rsidRPr="00E82FC7">
        <w:rPr>
          <w:rFonts w:asciiTheme="majorHAnsi" w:eastAsia="Times New Roman" w:hAnsiTheme="majorHAnsi" w:cstheme="majorHAnsi"/>
          <w:lang w:val="en-CA"/>
        </w:rPr>
        <w:t xml:space="preserve"> </w:t>
      </w:r>
    </w:p>
    <w:p w14:paraId="4BA0E7D6" w14:textId="77777777" w:rsidR="003C735A" w:rsidRPr="00E82FC7" w:rsidRDefault="001F64AA" w:rsidP="003C735A">
      <w:pPr>
        <w:numPr>
          <w:ilvl w:val="0"/>
          <w:numId w:val="12"/>
        </w:numPr>
        <w:rPr>
          <w:rFonts w:asciiTheme="majorHAnsi" w:eastAsia="Times New Roman" w:hAnsiTheme="majorHAnsi" w:cstheme="majorHAnsi"/>
          <w:lang w:val="en-CA"/>
        </w:rPr>
      </w:pPr>
      <w:hyperlink r:id="rId27" w:history="1">
        <w:r w:rsidR="003C735A">
          <w:rPr>
            <w:rStyle w:val="Hyperlink"/>
            <w:rFonts w:asciiTheme="majorHAnsi" w:eastAsia="Times New Roman" w:hAnsiTheme="majorHAnsi" w:cstheme="majorHAnsi"/>
          </w:rPr>
          <w:t xml:space="preserve">Student Life </w:t>
        </w:r>
        <w:r w:rsidR="003C735A" w:rsidRPr="00E82FC7">
          <w:rPr>
            <w:rStyle w:val="Hyperlink"/>
            <w:rFonts w:asciiTheme="majorHAnsi" w:eastAsia="Times New Roman" w:hAnsiTheme="majorHAnsi" w:cstheme="majorHAnsi"/>
          </w:rPr>
          <w:t>Health and Wellness</w:t>
        </w:r>
      </w:hyperlink>
      <w:r w:rsidR="003C735A" w:rsidRPr="00E82FC7">
        <w:rPr>
          <w:rFonts w:asciiTheme="majorHAnsi" w:eastAsia="Times New Roman" w:hAnsiTheme="majorHAnsi" w:cstheme="majorHAnsi"/>
        </w:rPr>
        <w:t> </w:t>
      </w:r>
    </w:p>
    <w:p w14:paraId="76EAE6C3" w14:textId="77777777" w:rsidR="003C735A" w:rsidRPr="00E82FC7" w:rsidRDefault="003C735A" w:rsidP="003C735A">
      <w:pPr>
        <w:numPr>
          <w:ilvl w:val="0"/>
          <w:numId w:val="12"/>
        </w:numPr>
        <w:rPr>
          <w:rFonts w:asciiTheme="majorHAnsi" w:eastAsia="Times New Roman" w:hAnsiTheme="majorHAnsi" w:cstheme="majorHAnsi"/>
          <w:lang w:val="en-CA"/>
        </w:rPr>
      </w:pPr>
      <w:r w:rsidRPr="00E82FC7">
        <w:rPr>
          <w:rFonts w:asciiTheme="majorHAnsi" w:eastAsia="Times New Roman" w:hAnsiTheme="majorHAnsi" w:cstheme="majorHAnsi"/>
        </w:rPr>
        <w:t>MySSP: </w:t>
      </w:r>
      <w:r w:rsidRPr="00E82FC7">
        <w:rPr>
          <w:rFonts w:asciiTheme="majorHAnsi" w:eastAsia="Times New Roman" w:hAnsiTheme="majorHAnsi" w:cstheme="majorHAnsi"/>
          <w:lang w:val="en-CA"/>
        </w:rPr>
        <w:t>1-844-451-9700 (or use the app)</w:t>
      </w:r>
    </w:p>
    <w:p w14:paraId="2CA3C7DE" w14:textId="77777777" w:rsidR="003C735A" w:rsidRPr="00E82FC7" w:rsidRDefault="003C735A" w:rsidP="003C735A">
      <w:pPr>
        <w:numPr>
          <w:ilvl w:val="0"/>
          <w:numId w:val="12"/>
        </w:numPr>
        <w:rPr>
          <w:rFonts w:asciiTheme="majorHAnsi" w:eastAsia="Times New Roman" w:hAnsiTheme="majorHAnsi" w:cstheme="majorHAnsi"/>
          <w:lang w:val="en-CA"/>
        </w:rPr>
      </w:pPr>
      <w:r w:rsidRPr="00E82FC7">
        <w:rPr>
          <w:rFonts w:asciiTheme="majorHAnsi" w:eastAsia="Times New Roman" w:hAnsiTheme="majorHAnsi" w:cstheme="majorHAnsi"/>
          <w:lang w:val="en-CA"/>
        </w:rPr>
        <w:t>Good2Talk: Call: 1-866-925-5454 or Text: GOODTOTALKON to 686868</w:t>
      </w:r>
      <w:r w:rsidRPr="00E82FC7">
        <w:rPr>
          <w:rFonts w:asciiTheme="majorHAnsi" w:eastAsia="Times New Roman" w:hAnsiTheme="majorHAnsi" w:cstheme="majorHAnsi"/>
        </w:rPr>
        <w:t> </w:t>
      </w:r>
      <w:r w:rsidRPr="00E82FC7">
        <w:rPr>
          <w:rFonts w:asciiTheme="majorHAnsi" w:eastAsia="Times New Roman" w:hAnsiTheme="majorHAnsi" w:cstheme="majorHAnsi"/>
          <w:lang w:val="en-CA"/>
        </w:rPr>
        <w:t xml:space="preserve"> </w:t>
      </w:r>
    </w:p>
    <w:p w14:paraId="41A0400D" w14:textId="77777777" w:rsidR="003C735A" w:rsidRDefault="003C735A" w:rsidP="003C735A">
      <w:pPr>
        <w:rPr>
          <w:rFonts w:asciiTheme="majorHAnsi" w:hAnsiTheme="majorHAnsi" w:cstheme="majorHAnsi"/>
          <w:b/>
          <w:bCs/>
        </w:rPr>
      </w:pPr>
    </w:p>
    <w:p w14:paraId="055E6614" w14:textId="3EA182A9" w:rsidR="00F42759" w:rsidRPr="00C71CCA" w:rsidRDefault="00F42759" w:rsidP="00662242">
      <w:pPr>
        <w:rPr>
          <w:rFonts w:ascii="Calibri" w:hAnsi="Calibri" w:cs="Calibri"/>
          <w:b/>
          <w:sz w:val="22"/>
          <w:szCs w:val="22"/>
        </w:rPr>
      </w:pPr>
      <w:r>
        <w:rPr>
          <w:rFonts w:ascii="Calibri" w:hAnsi="Calibri" w:cs="Calibri"/>
          <w:b/>
          <w:sz w:val="22"/>
          <w:szCs w:val="22"/>
        </w:rPr>
        <w:t>Tri</w:t>
      </w:r>
      <w:r w:rsidRPr="00C71CCA">
        <w:rPr>
          <w:rFonts w:ascii="Calibri" w:hAnsi="Calibri" w:cs="Calibri"/>
          <w:b/>
          <w:sz w:val="22"/>
          <w:szCs w:val="22"/>
        </w:rPr>
        <w:t xml:space="preserve">-Campus Sexual Violence Prevention and Support Centre (“The Centre”). </w:t>
      </w:r>
    </w:p>
    <w:p w14:paraId="117ED187" w14:textId="77777777" w:rsidR="00F42759" w:rsidRPr="00662242" w:rsidRDefault="00F42759" w:rsidP="00662242">
      <w:pPr>
        <w:pStyle w:val="ListParagraph"/>
        <w:numPr>
          <w:ilvl w:val="0"/>
          <w:numId w:val="21"/>
        </w:numPr>
        <w:spacing w:after="160"/>
        <w:rPr>
          <w:rFonts w:ascii="Calibri" w:hAnsi="Calibri" w:cs="Calibri"/>
          <w:color w:val="4C4C4E"/>
          <w:sz w:val="22"/>
          <w:szCs w:val="22"/>
        </w:rPr>
      </w:pPr>
      <w:r w:rsidRPr="00662242">
        <w:rPr>
          <w:rFonts w:ascii="Calibri" w:hAnsi="Calibri" w:cs="Calibri"/>
          <w:bCs/>
          <w:color w:val="4C4C4E"/>
          <w:sz w:val="22"/>
          <w:szCs w:val="22"/>
        </w:rPr>
        <w:t>The Centre has a location on all three campuses</w:t>
      </w:r>
      <w:r w:rsidRPr="00662242">
        <w:rPr>
          <w:rFonts w:ascii="Calibri" w:hAnsi="Calibri" w:cs="Calibri"/>
          <w:color w:val="4C4C4E"/>
          <w:sz w:val="22"/>
          <w:szCs w:val="22"/>
        </w:rPr>
        <w:t xml:space="preserve"> to help students who disclose to access supports and, in cases where the student chooses to formally make a report, the Centre will explain the process, and facilitate the making of the report to the University and/or to the Police. The Centre can be contacted through its confidential phone at 416-978-2266 or </w:t>
      </w:r>
      <w:hyperlink r:id="rId28" w:history="1">
        <w:r w:rsidRPr="009C7E94">
          <w:rPr>
            <w:rStyle w:val="Hyperlink"/>
            <w:rFonts w:ascii="Calibri" w:hAnsi="Calibri" w:cs="Calibri"/>
            <w:sz w:val="22"/>
            <w:szCs w:val="22"/>
          </w:rPr>
          <w:t>thesvpcentre@utoronto.ca</w:t>
        </w:r>
      </w:hyperlink>
      <w:r w:rsidRPr="00662242">
        <w:rPr>
          <w:rFonts w:ascii="Calibri" w:hAnsi="Calibri" w:cs="Calibri"/>
          <w:color w:val="4C4C4E"/>
          <w:sz w:val="22"/>
          <w:szCs w:val="22"/>
        </w:rPr>
        <w:t>.</w:t>
      </w:r>
    </w:p>
    <w:p w14:paraId="4938EDBA" w14:textId="77777777" w:rsidR="00F42759" w:rsidRPr="00662242" w:rsidRDefault="00F42759" w:rsidP="00662242">
      <w:pPr>
        <w:pStyle w:val="ListParagraph"/>
        <w:numPr>
          <w:ilvl w:val="0"/>
          <w:numId w:val="21"/>
        </w:numPr>
        <w:adjustRightInd w:val="0"/>
        <w:rPr>
          <w:rFonts w:ascii="Calibri" w:hAnsi="Calibri" w:cs="Calibri"/>
          <w:b/>
          <w:color w:val="000000"/>
          <w:sz w:val="22"/>
          <w:szCs w:val="22"/>
        </w:rPr>
      </w:pPr>
      <w:r w:rsidRPr="00662242">
        <w:rPr>
          <w:rFonts w:ascii="Calibri" w:hAnsi="Calibri" w:cs="Calibri"/>
          <w:color w:val="000000"/>
          <w:sz w:val="22"/>
          <w:szCs w:val="22"/>
        </w:rPr>
        <w:t xml:space="preserve">Students are encouraged to call or email for an appointment, which will be booked as soon as possible.  </w:t>
      </w:r>
      <w:r w:rsidRPr="00662242">
        <w:rPr>
          <w:rFonts w:ascii="Calibri" w:hAnsi="Calibri" w:cs="Calibri"/>
          <w:b/>
          <w:color w:val="000000"/>
          <w:sz w:val="22"/>
          <w:szCs w:val="22"/>
        </w:rPr>
        <w:t>Students in crisis or in need of immediate support related to sexual violence can contact Women’s College Hospital Sexual Assault Care Centre at 416-323-6040.</w:t>
      </w:r>
    </w:p>
    <w:p w14:paraId="2804CF90" w14:textId="77777777" w:rsidR="00F42759" w:rsidRDefault="00F42759" w:rsidP="00662242">
      <w:pPr>
        <w:adjustRightInd w:val="0"/>
        <w:rPr>
          <w:rFonts w:ascii="Calibri" w:hAnsi="Calibri" w:cs="Calibri"/>
          <w:b/>
          <w:color w:val="000000"/>
          <w:sz w:val="22"/>
          <w:szCs w:val="22"/>
        </w:rPr>
      </w:pPr>
    </w:p>
    <w:p w14:paraId="5B9B9CBB" w14:textId="77777777" w:rsidR="00F42759" w:rsidRPr="0047525C" w:rsidRDefault="00F42759" w:rsidP="00662242">
      <w:pPr>
        <w:rPr>
          <w:rFonts w:ascii="Calibri" w:hAnsi="Calibri" w:cs="Calibri"/>
          <w:b/>
          <w:sz w:val="22"/>
          <w:szCs w:val="22"/>
        </w:rPr>
      </w:pPr>
      <w:bookmarkStart w:id="0" w:name="_Hlk100054185"/>
      <w:r w:rsidRPr="0047525C">
        <w:rPr>
          <w:rFonts w:ascii="Calibri" w:hAnsi="Calibri" w:cs="Calibri"/>
          <w:b/>
          <w:sz w:val="22"/>
          <w:szCs w:val="22"/>
        </w:rPr>
        <w:t>Office of the Ombudsperson</w:t>
      </w:r>
    </w:p>
    <w:p w14:paraId="2D6D17F4" w14:textId="77777777" w:rsidR="009C7E94" w:rsidRPr="00662242" w:rsidRDefault="00F42759" w:rsidP="009C7E94">
      <w:pPr>
        <w:pStyle w:val="ListParagraph"/>
        <w:numPr>
          <w:ilvl w:val="0"/>
          <w:numId w:val="22"/>
        </w:numPr>
        <w:jc w:val="both"/>
        <w:rPr>
          <w:rFonts w:ascii="Calibri" w:hAnsi="Calibri" w:cs="Calibri"/>
          <w:b/>
          <w:sz w:val="22"/>
          <w:szCs w:val="22"/>
        </w:rPr>
      </w:pPr>
      <w:r w:rsidRPr="00662242">
        <w:rPr>
          <w:rFonts w:ascii="Calibri" w:hAnsi="Calibri" w:cs="Calibri"/>
          <w:color w:val="000000"/>
          <w:sz w:val="22"/>
          <w:szCs w:val="22"/>
          <w:shd w:val="clear" w:color="auto" w:fill="FFFFFF"/>
        </w:rPr>
        <w:t>As part of the University’s commitment to ensuring that the rights of its individual members are protected, the University Ombudsperson </w:t>
      </w:r>
      <w:r w:rsidRPr="00662242">
        <w:rPr>
          <w:rFonts w:ascii="Calibri" w:hAnsi="Calibri" w:cs="Calibri"/>
          <w:color w:val="000000"/>
          <w:sz w:val="22"/>
          <w:szCs w:val="22"/>
          <w:shd w:val="clear" w:color="auto" w:fill="FFFFFF"/>
          <w:lang w:val="en"/>
        </w:rPr>
        <w:t>is devoted to ensuring procedural fairness and just and reasonable outcomes. </w:t>
      </w:r>
    </w:p>
    <w:p w14:paraId="7BD88E77" w14:textId="7D4AC00A" w:rsidR="00F42759" w:rsidRPr="00662242" w:rsidRDefault="00373703" w:rsidP="00662242">
      <w:pPr>
        <w:pStyle w:val="ListParagraph"/>
        <w:numPr>
          <w:ilvl w:val="0"/>
          <w:numId w:val="22"/>
        </w:numPr>
        <w:jc w:val="both"/>
        <w:rPr>
          <w:rFonts w:ascii="Calibri" w:hAnsi="Calibri" w:cs="Calibri"/>
          <w:b/>
          <w:sz w:val="22"/>
          <w:szCs w:val="22"/>
        </w:rPr>
      </w:pPr>
      <w:r>
        <w:rPr>
          <w:rFonts w:ascii="Calibri" w:hAnsi="Calibri" w:cs="Calibri"/>
          <w:color w:val="000000"/>
          <w:sz w:val="22"/>
          <w:szCs w:val="22"/>
          <w:shd w:val="clear" w:color="auto" w:fill="FFFFFF"/>
          <w:lang w:val="en"/>
        </w:rPr>
        <w:t>T</w:t>
      </w:r>
      <w:r w:rsidR="00F42759" w:rsidRPr="00662242">
        <w:rPr>
          <w:rFonts w:ascii="Calibri" w:hAnsi="Calibri" w:cs="Calibri"/>
          <w:color w:val="000000"/>
          <w:sz w:val="22"/>
          <w:szCs w:val="22"/>
          <w:shd w:val="clear" w:color="auto" w:fill="FFFFFF"/>
        </w:rPr>
        <w:t xml:space="preserve">he Ombudsperson offers confidential advice and assistance </w:t>
      </w:r>
      <w:r>
        <w:rPr>
          <w:rFonts w:ascii="Calibri" w:hAnsi="Calibri" w:cs="Calibri"/>
          <w:color w:val="000000"/>
          <w:sz w:val="22"/>
          <w:szCs w:val="22"/>
          <w:shd w:val="clear" w:color="auto" w:fill="FFFFFF"/>
          <w:lang w:val="en"/>
        </w:rPr>
        <w:t>f</w:t>
      </w:r>
      <w:r w:rsidRPr="00662242">
        <w:rPr>
          <w:rFonts w:ascii="Calibri" w:hAnsi="Calibri" w:cs="Calibri"/>
          <w:color w:val="000000"/>
          <w:sz w:val="22"/>
          <w:szCs w:val="22"/>
          <w:shd w:val="clear" w:color="auto" w:fill="FFFFFF"/>
          <w:lang w:val="en"/>
        </w:rPr>
        <w:t>or complaints and concerns</w:t>
      </w:r>
      <w:r w:rsidRPr="00662242">
        <w:rPr>
          <w:rFonts w:ascii="Calibri" w:hAnsi="Calibri" w:cs="Calibri"/>
          <w:color w:val="000000"/>
          <w:sz w:val="22"/>
          <w:szCs w:val="22"/>
          <w:shd w:val="clear" w:color="auto" w:fill="FFFFFF"/>
        </w:rPr>
        <w:t xml:space="preserve"> </w:t>
      </w:r>
      <w:r w:rsidR="00F42759" w:rsidRPr="00662242">
        <w:rPr>
          <w:rFonts w:ascii="Calibri" w:hAnsi="Calibri" w:cs="Calibri"/>
          <w:color w:val="000000"/>
          <w:sz w:val="22"/>
          <w:szCs w:val="22"/>
          <w:shd w:val="clear" w:color="auto" w:fill="FFFFFF"/>
        </w:rPr>
        <w:t>and can recommend changes in academic or administrative procedures where this seems justified. For information, see</w:t>
      </w:r>
      <w:r w:rsidR="00F42759" w:rsidRPr="00662242">
        <w:rPr>
          <w:rFonts w:ascii="Calibri" w:hAnsi="Calibri" w:cs="Calibri"/>
          <w:i/>
          <w:iCs/>
          <w:sz w:val="22"/>
          <w:szCs w:val="22"/>
        </w:rPr>
        <w:t xml:space="preserve"> </w:t>
      </w:r>
      <w:hyperlink r:id="rId29" w:history="1">
        <w:r w:rsidR="00F42759" w:rsidRPr="009C7E94">
          <w:rPr>
            <w:rStyle w:val="Hyperlink"/>
            <w:rFonts w:ascii="Calibri" w:hAnsi="Calibri" w:cs="Calibri"/>
            <w:iCs/>
            <w:sz w:val="22"/>
            <w:szCs w:val="22"/>
          </w:rPr>
          <w:t>https://governingcouncil.utoronto.ca/ombudsperson</w:t>
        </w:r>
      </w:hyperlink>
      <w:r w:rsidR="00F42759" w:rsidRPr="00662242">
        <w:rPr>
          <w:rFonts w:ascii="Calibri" w:hAnsi="Calibri" w:cs="Calibri"/>
          <w:iCs/>
          <w:sz w:val="22"/>
          <w:szCs w:val="22"/>
        </w:rPr>
        <w:t>.</w:t>
      </w:r>
    </w:p>
    <w:bookmarkEnd w:id="0"/>
    <w:p w14:paraId="019E9819" w14:textId="77777777" w:rsidR="00F42759" w:rsidRDefault="00F42759" w:rsidP="003C735A">
      <w:pPr>
        <w:rPr>
          <w:rFonts w:asciiTheme="majorHAnsi" w:hAnsiTheme="majorHAnsi" w:cstheme="majorHAnsi"/>
          <w:b/>
          <w:bCs/>
        </w:rPr>
      </w:pPr>
    </w:p>
    <w:p w14:paraId="3BC5FCD4" w14:textId="4A279DF7" w:rsidR="003C735A" w:rsidRDefault="003C735A" w:rsidP="003C735A">
      <w:pPr>
        <w:rPr>
          <w:rFonts w:asciiTheme="majorHAnsi" w:hAnsiTheme="majorHAnsi" w:cstheme="majorHAnsi"/>
          <w:b/>
          <w:bCs/>
        </w:rPr>
      </w:pPr>
      <w:r>
        <w:rPr>
          <w:rFonts w:asciiTheme="majorHAnsi" w:hAnsiTheme="majorHAnsi" w:cstheme="majorHAnsi"/>
          <w:b/>
          <w:bCs/>
        </w:rPr>
        <w:t xml:space="preserve">Other </w:t>
      </w:r>
      <w:r w:rsidRPr="0091494E">
        <w:rPr>
          <w:rFonts w:asciiTheme="majorHAnsi" w:hAnsiTheme="majorHAnsi" w:cstheme="majorHAnsi"/>
          <w:b/>
          <w:bCs/>
        </w:rPr>
        <w:t>Resources and Supports for DSLPH Graduate Students</w:t>
      </w:r>
    </w:p>
    <w:p w14:paraId="7D80EF2E" w14:textId="0DD39134" w:rsidR="00DF78C1" w:rsidRDefault="00DF78C1" w:rsidP="003C735A">
      <w:pPr>
        <w:rPr>
          <w:rFonts w:asciiTheme="majorHAnsi" w:hAnsiTheme="majorHAnsi" w:cstheme="majorHAnsi"/>
          <w:b/>
          <w:bCs/>
        </w:rPr>
      </w:pPr>
    </w:p>
    <w:tbl>
      <w:tblPr>
        <w:tblStyle w:val="TableGrid"/>
        <w:tblW w:w="0" w:type="auto"/>
        <w:tblLook w:val="04A0" w:firstRow="1" w:lastRow="0" w:firstColumn="1" w:lastColumn="0" w:noHBand="0" w:noVBand="1"/>
      </w:tblPr>
      <w:tblGrid>
        <w:gridCol w:w="2405"/>
        <w:gridCol w:w="6945"/>
      </w:tblGrid>
      <w:tr w:rsidR="00DF78C1" w14:paraId="2FA4C66D" w14:textId="77777777" w:rsidTr="00025963">
        <w:trPr>
          <w:cantSplit/>
          <w:tblHeader/>
        </w:trPr>
        <w:tc>
          <w:tcPr>
            <w:tcW w:w="2405" w:type="dxa"/>
          </w:tcPr>
          <w:p w14:paraId="47F66E95" w14:textId="5E212C7D" w:rsidR="00DF78C1" w:rsidRDefault="00025963" w:rsidP="003C735A">
            <w:pPr>
              <w:rPr>
                <w:rFonts w:asciiTheme="majorHAnsi" w:hAnsiTheme="majorHAnsi" w:cstheme="majorHAnsi"/>
                <w:b/>
                <w:bCs/>
              </w:rPr>
            </w:pPr>
            <w:r>
              <w:rPr>
                <w:rFonts w:asciiTheme="majorHAnsi" w:hAnsiTheme="majorHAnsi" w:cstheme="majorHAnsi"/>
                <w:b/>
                <w:bCs/>
              </w:rPr>
              <w:t>Resource</w:t>
            </w:r>
          </w:p>
        </w:tc>
        <w:tc>
          <w:tcPr>
            <w:tcW w:w="6945" w:type="dxa"/>
          </w:tcPr>
          <w:p w14:paraId="53FD1894" w14:textId="37E016AF" w:rsidR="00DF78C1" w:rsidRDefault="00025963" w:rsidP="003C735A">
            <w:pPr>
              <w:rPr>
                <w:rFonts w:asciiTheme="majorHAnsi" w:hAnsiTheme="majorHAnsi" w:cstheme="majorHAnsi"/>
                <w:b/>
                <w:bCs/>
              </w:rPr>
            </w:pPr>
            <w:r>
              <w:rPr>
                <w:rFonts w:asciiTheme="majorHAnsi" w:hAnsiTheme="majorHAnsi" w:cstheme="majorHAnsi"/>
                <w:b/>
                <w:bCs/>
              </w:rPr>
              <w:t xml:space="preserve">Summary </w:t>
            </w:r>
            <w:r w:rsidR="00356D07">
              <w:rPr>
                <w:rFonts w:asciiTheme="majorHAnsi" w:hAnsiTheme="majorHAnsi" w:cstheme="majorHAnsi"/>
                <w:b/>
                <w:bCs/>
              </w:rPr>
              <w:t>Description</w:t>
            </w:r>
          </w:p>
        </w:tc>
      </w:tr>
      <w:tr w:rsidR="00DF78C1" w14:paraId="56F79414" w14:textId="77777777" w:rsidTr="00662242">
        <w:tc>
          <w:tcPr>
            <w:tcW w:w="2405" w:type="dxa"/>
          </w:tcPr>
          <w:p w14:paraId="5F5D0336" w14:textId="587577D2" w:rsidR="00DF78C1" w:rsidRDefault="001F64AA" w:rsidP="003C735A">
            <w:pPr>
              <w:rPr>
                <w:rFonts w:asciiTheme="majorHAnsi" w:hAnsiTheme="majorHAnsi" w:cstheme="majorHAnsi"/>
                <w:b/>
                <w:bCs/>
              </w:rPr>
            </w:pPr>
            <w:hyperlink r:id="rId30" w:history="1">
              <w:r w:rsidR="00DF78C1" w:rsidRPr="00DF78C1">
                <w:rPr>
                  <w:rStyle w:val="Hyperlink"/>
                  <w:rFonts w:asciiTheme="majorHAnsi" w:hAnsiTheme="majorHAnsi" w:cstheme="majorHAnsi"/>
                </w:rPr>
                <w:t>The Office of Graduate Affairs</w:t>
              </w:r>
            </w:hyperlink>
          </w:p>
        </w:tc>
        <w:tc>
          <w:tcPr>
            <w:tcW w:w="6945" w:type="dxa"/>
          </w:tcPr>
          <w:p w14:paraId="0E5110A0" w14:textId="06FD22CE" w:rsidR="00DF78C1" w:rsidRDefault="00DF78C1" w:rsidP="003C735A">
            <w:pPr>
              <w:rPr>
                <w:rFonts w:asciiTheme="majorHAnsi" w:hAnsiTheme="majorHAnsi" w:cstheme="majorHAnsi"/>
                <w:b/>
                <w:bCs/>
              </w:rPr>
            </w:pPr>
            <w:r>
              <w:rPr>
                <w:rFonts w:asciiTheme="majorHAnsi" w:hAnsiTheme="majorHAnsi" w:cstheme="majorHAnsi"/>
              </w:rPr>
              <w:t>P</w:t>
            </w:r>
            <w:r w:rsidRPr="003C735A">
              <w:rPr>
                <w:rFonts w:asciiTheme="majorHAnsi" w:hAnsiTheme="majorHAnsi" w:cstheme="majorHAnsi"/>
              </w:rPr>
              <w:t xml:space="preserve">rovides a variety of services, including academic, program and personal advising.  </w:t>
            </w:r>
            <w:r>
              <w:rPr>
                <w:rFonts w:asciiTheme="majorHAnsi" w:hAnsiTheme="majorHAnsi" w:cstheme="majorHAnsi"/>
              </w:rPr>
              <w:t xml:space="preserve">DLSPH </w:t>
            </w:r>
            <w:r w:rsidRPr="003C735A">
              <w:rPr>
                <w:rFonts w:asciiTheme="majorHAnsi" w:hAnsiTheme="majorHAnsi" w:cstheme="majorHAnsi"/>
              </w:rPr>
              <w:t xml:space="preserve">students that require any assistance or information regarding coursework extension, program requirements, </w:t>
            </w:r>
            <w:r w:rsidR="00373703" w:rsidRPr="003C735A">
              <w:rPr>
                <w:rFonts w:asciiTheme="majorHAnsi" w:hAnsiTheme="majorHAnsi" w:cstheme="majorHAnsi"/>
              </w:rPr>
              <w:t>etc..</w:t>
            </w:r>
          </w:p>
        </w:tc>
      </w:tr>
      <w:tr w:rsidR="00D954DB" w14:paraId="692DB437" w14:textId="77777777" w:rsidTr="00662242">
        <w:tc>
          <w:tcPr>
            <w:tcW w:w="2405" w:type="dxa"/>
          </w:tcPr>
          <w:p w14:paraId="66672C07" w14:textId="0DDF0E33" w:rsidR="00D954DB" w:rsidRPr="00DF78C1" w:rsidRDefault="001F64AA" w:rsidP="00DF78C1">
            <w:pPr>
              <w:rPr>
                <w:rFonts w:asciiTheme="majorHAnsi" w:hAnsiTheme="majorHAnsi" w:cstheme="majorHAnsi"/>
              </w:rPr>
            </w:pPr>
            <w:hyperlink r:id="rId31" w:history="1">
              <w:r w:rsidR="00D954DB" w:rsidRPr="00D954DB">
                <w:rPr>
                  <w:rStyle w:val="Hyperlink"/>
                  <w:rFonts w:asciiTheme="majorHAnsi" w:hAnsiTheme="majorHAnsi" w:cstheme="majorHAnsi"/>
                </w:rPr>
                <w:t xml:space="preserve">Graduate Department of Public Health Sciences Student </w:t>
              </w:r>
              <w:r w:rsidR="00D954DB">
                <w:rPr>
                  <w:rStyle w:val="Hyperlink"/>
                  <w:rFonts w:asciiTheme="majorHAnsi" w:hAnsiTheme="majorHAnsi" w:cstheme="majorHAnsi"/>
                </w:rPr>
                <w:t xml:space="preserve">(GDPHS) </w:t>
              </w:r>
              <w:r w:rsidR="00D954DB" w:rsidRPr="00D954DB">
                <w:rPr>
                  <w:rStyle w:val="Hyperlink"/>
                  <w:rFonts w:asciiTheme="majorHAnsi" w:hAnsiTheme="majorHAnsi" w:cstheme="majorHAnsi"/>
                </w:rPr>
                <w:t>Handbook</w:t>
              </w:r>
            </w:hyperlink>
          </w:p>
        </w:tc>
        <w:tc>
          <w:tcPr>
            <w:tcW w:w="6945" w:type="dxa"/>
          </w:tcPr>
          <w:p w14:paraId="1F10F903" w14:textId="346C4593" w:rsidR="00D954DB" w:rsidRPr="00D954DB" w:rsidRDefault="00D954DB" w:rsidP="003C735A">
            <w:pPr>
              <w:rPr>
                <w:rFonts w:asciiTheme="majorHAnsi" w:hAnsiTheme="majorHAnsi" w:cstheme="majorHAnsi"/>
              </w:rPr>
            </w:pPr>
            <w:r>
              <w:rPr>
                <w:rFonts w:asciiTheme="majorHAnsi" w:hAnsiTheme="majorHAnsi" w:cstheme="majorHAnsi"/>
              </w:rPr>
              <w:t>This resource provides comprehensive information on getting started, enrolment, policies and procedures, financial matters, awards and funding opportunities, student services and more.</w:t>
            </w:r>
          </w:p>
        </w:tc>
      </w:tr>
      <w:tr w:rsidR="00D954DB" w14:paraId="733CDE1B" w14:textId="77777777" w:rsidTr="00662242">
        <w:tc>
          <w:tcPr>
            <w:tcW w:w="2405" w:type="dxa"/>
          </w:tcPr>
          <w:p w14:paraId="452D053B" w14:textId="7B4BB323" w:rsidR="00D954DB" w:rsidRPr="00DF78C1" w:rsidRDefault="001F64AA" w:rsidP="00D954DB">
            <w:pPr>
              <w:rPr>
                <w:rFonts w:asciiTheme="majorHAnsi" w:hAnsiTheme="majorHAnsi" w:cstheme="majorHAnsi"/>
              </w:rPr>
            </w:pPr>
            <w:hyperlink r:id="rId32" w:history="1">
              <w:r w:rsidR="00D954DB" w:rsidRPr="0091494E">
                <w:rPr>
                  <w:rStyle w:val="Hyperlink"/>
                  <w:rFonts w:asciiTheme="majorHAnsi" w:hAnsiTheme="majorHAnsi" w:cstheme="majorHAnsi"/>
                </w:rPr>
                <w:t xml:space="preserve">DLSPH Student Resources </w:t>
              </w:r>
            </w:hyperlink>
          </w:p>
        </w:tc>
        <w:tc>
          <w:tcPr>
            <w:tcW w:w="6945" w:type="dxa"/>
          </w:tcPr>
          <w:p w14:paraId="6B2E88A4" w14:textId="04A47EE7" w:rsidR="00D954DB" w:rsidRPr="0066332E" w:rsidRDefault="00D954DB" w:rsidP="00D954DB">
            <w:pPr>
              <w:rPr>
                <w:rFonts w:asciiTheme="majorHAnsi" w:hAnsiTheme="majorHAnsi" w:cstheme="majorHAnsi"/>
              </w:rPr>
            </w:pPr>
            <w:r w:rsidRPr="00662242">
              <w:rPr>
                <w:rFonts w:asciiTheme="majorHAnsi" w:hAnsiTheme="majorHAnsi" w:cstheme="majorHAnsi"/>
              </w:rPr>
              <w:t>This resource site includes information for incoming students, the G</w:t>
            </w:r>
            <w:r w:rsidRPr="00662242">
              <w:t xml:space="preserve">DPHS Student Handbook, program requirements, policies and forms, </w:t>
            </w:r>
            <w:r w:rsidR="0066332E" w:rsidRPr="00662242">
              <w:t xml:space="preserve">online learning </w:t>
            </w:r>
            <w:r w:rsidR="00B621C6" w:rsidRPr="00662242">
              <w:t>resources</w:t>
            </w:r>
            <w:r w:rsidR="0066332E" w:rsidRPr="00662242">
              <w:t>, timetables, course database, information for international students</w:t>
            </w:r>
            <w:r w:rsidR="0066332E">
              <w:t xml:space="preserve">, professional opportunities, mentorship program, health &amp; well-being, public health </w:t>
            </w:r>
            <w:r w:rsidR="00373703">
              <w:t>students’</w:t>
            </w:r>
            <w:r w:rsidR="0066332E">
              <w:t xml:space="preserve"> association, and PhD Final Oral Exams</w:t>
            </w:r>
            <w:r w:rsidR="0066332E" w:rsidRPr="00662242">
              <w:t xml:space="preserve">. </w:t>
            </w:r>
          </w:p>
        </w:tc>
      </w:tr>
      <w:tr w:rsidR="00D954DB" w14:paraId="7E7EFC82" w14:textId="77777777" w:rsidTr="00662242">
        <w:tc>
          <w:tcPr>
            <w:tcW w:w="2405" w:type="dxa"/>
          </w:tcPr>
          <w:p w14:paraId="72F8A7D1" w14:textId="2DD8B66D" w:rsidR="00D954DB" w:rsidRPr="00662242" w:rsidRDefault="00D954DB" w:rsidP="00D954DB">
            <w:pPr>
              <w:rPr>
                <w:rFonts w:asciiTheme="majorHAnsi" w:hAnsiTheme="majorHAnsi" w:cstheme="majorHAnsi"/>
              </w:rPr>
            </w:pPr>
            <w:r w:rsidRPr="00DF78C1">
              <w:rPr>
                <w:rFonts w:asciiTheme="majorHAnsi" w:hAnsiTheme="majorHAnsi" w:cstheme="majorHAnsi"/>
              </w:rPr>
              <w:lastRenderedPageBreak/>
              <w:t xml:space="preserve">U of T </w:t>
            </w:r>
            <w:hyperlink r:id="rId33" w:history="1">
              <w:r w:rsidRPr="00DF78C1">
                <w:rPr>
                  <w:rStyle w:val="Hyperlink"/>
                  <w:rFonts w:asciiTheme="majorHAnsi" w:hAnsiTheme="majorHAnsi" w:cstheme="majorHAnsi"/>
                </w:rPr>
                <w:t>Graduate Student Union</w:t>
              </w:r>
            </w:hyperlink>
          </w:p>
        </w:tc>
        <w:tc>
          <w:tcPr>
            <w:tcW w:w="6945" w:type="dxa"/>
          </w:tcPr>
          <w:p w14:paraId="484AF3FD" w14:textId="7DBB39C0" w:rsidR="00D954DB" w:rsidRPr="00662242" w:rsidRDefault="00D954DB" w:rsidP="00D954DB">
            <w:pPr>
              <w:rPr>
                <w:rFonts w:asciiTheme="majorHAnsi" w:hAnsiTheme="majorHAnsi" w:cstheme="majorHAnsi"/>
              </w:rPr>
            </w:pPr>
            <w:r w:rsidRPr="00662242">
              <w:rPr>
                <w:rFonts w:asciiTheme="majorHAnsi" w:hAnsiTheme="majorHAnsi" w:cstheme="majorHAnsi"/>
              </w:rPr>
              <w:t xml:space="preserve">The UTGSU is a voice for over 18 500 students as well as a platform for community building and services. UTGSU </w:t>
            </w:r>
            <w:r>
              <w:rPr>
                <w:rFonts w:asciiTheme="majorHAnsi" w:hAnsiTheme="majorHAnsi" w:cstheme="majorHAnsi"/>
              </w:rPr>
              <w:t xml:space="preserve">supports and </w:t>
            </w:r>
            <w:r w:rsidRPr="00662242">
              <w:rPr>
                <w:rFonts w:asciiTheme="majorHAnsi" w:hAnsiTheme="majorHAnsi" w:cstheme="majorHAnsi"/>
              </w:rPr>
              <w:t>advocate</w:t>
            </w:r>
            <w:r>
              <w:rPr>
                <w:rFonts w:asciiTheme="majorHAnsi" w:hAnsiTheme="majorHAnsi" w:cstheme="majorHAnsi"/>
              </w:rPr>
              <w:t>s</w:t>
            </w:r>
            <w:r w:rsidRPr="00662242">
              <w:rPr>
                <w:rFonts w:asciiTheme="majorHAnsi" w:hAnsiTheme="majorHAnsi" w:cstheme="majorHAnsi"/>
              </w:rPr>
              <w:t xml:space="preserve"> on behalf </w:t>
            </w:r>
            <w:r>
              <w:rPr>
                <w:rFonts w:asciiTheme="majorHAnsi" w:hAnsiTheme="majorHAnsi" w:cstheme="majorHAnsi"/>
              </w:rPr>
              <w:t>of graduate students.</w:t>
            </w:r>
          </w:p>
        </w:tc>
      </w:tr>
      <w:tr w:rsidR="00D954DB" w14:paraId="78AAEAD2" w14:textId="77777777" w:rsidTr="00662242">
        <w:tc>
          <w:tcPr>
            <w:tcW w:w="2405" w:type="dxa"/>
          </w:tcPr>
          <w:p w14:paraId="4E7AC401" w14:textId="21DD23B7" w:rsidR="00AF4613" w:rsidRPr="00AF4613" w:rsidRDefault="001F64AA" w:rsidP="00662242">
            <w:pPr>
              <w:rPr>
                <w:rFonts w:ascii="Calibri" w:hAnsi="Calibri" w:cs="Calibri"/>
                <w:bCs/>
                <w:sz w:val="22"/>
                <w:szCs w:val="22"/>
              </w:rPr>
            </w:pPr>
            <w:hyperlink r:id="rId34" w:history="1">
              <w:r w:rsidR="00AF4613" w:rsidRPr="00662242">
                <w:rPr>
                  <w:rStyle w:val="Hyperlink"/>
                  <w:bCs/>
                </w:rPr>
                <w:t>Health Sciences Writing Centre</w:t>
              </w:r>
            </w:hyperlink>
            <w:r w:rsidR="00AF4613" w:rsidRPr="00AF4613">
              <w:rPr>
                <w:rFonts w:ascii="Calibri" w:hAnsi="Calibri" w:cs="Calibri"/>
                <w:bCs/>
                <w:sz w:val="22"/>
                <w:szCs w:val="22"/>
              </w:rPr>
              <w:t xml:space="preserve"> (for DLSPH PhD students)</w:t>
            </w:r>
          </w:p>
          <w:p w14:paraId="68AA11FE" w14:textId="41F09EBA" w:rsidR="00D954DB" w:rsidRDefault="00D954DB" w:rsidP="00D954DB">
            <w:pPr>
              <w:rPr>
                <w:rFonts w:asciiTheme="majorHAnsi" w:hAnsiTheme="majorHAnsi" w:cstheme="majorHAnsi"/>
                <w:b/>
                <w:bCs/>
              </w:rPr>
            </w:pPr>
          </w:p>
        </w:tc>
        <w:tc>
          <w:tcPr>
            <w:tcW w:w="6945" w:type="dxa"/>
          </w:tcPr>
          <w:p w14:paraId="1EDF7BE4" w14:textId="77777777" w:rsidR="00AF4613" w:rsidRPr="00662242" w:rsidRDefault="00AF4613" w:rsidP="00AF4613">
            <w:pPr>
              <w:rPr>
                <w:rFonts w:asciiTheme="majorHAnsi" w:hAnsiTheme="majorHAnsi" w:cstheme="majorHAnsi"/>
              </w:rPr>
            </w:pPr>
            <w:r w:rsidRPr="00662242">
              <w:rPr>
                <w:rFonts w:asciiTheme="majorHAnsi" w:hAnsiTheme="majorHAnsi" w:cstheme="majorHAnsi"/>
              </w:rPr>
              <w:t xml:space="preserve">The Health Sciences Writing Centre provides free individualized, confidential writing instruction to: </w:t>
            </w:r>
          </w:p>
          <w:p w14:paraId="7EA09CCF" w14:textId="39DFE078" w:rsidR="00AF4613" w:rsidRPr="00662242" w:rsidRDefault="00AF4613" w:rsidP="00662242">
            <w:pPr>
              <w:pStyle w:val="ListParagraph"/>
              <w:numPr>
                <w:ilvl w:val="0"/>
                <w:numId w:val="20"/>
              </w:numPr>
              <w:rPr>
                <w:rFonts w:asciiTheme="majorHAnsi" w:hAnsiTheme="majorHAnsi" w:cstheme="majorHAnsi"/>
              </w:rPr>
            </w:pPr>
            <w:r w:rsidRPr="00662242">
              <w:rPr>
                <w:rFonts w:asciiTheme="majorHAnsi" w:hAnsiTheme="majorHAnsi" w:cstheme="majorHAnsi"/>
              </w:rPr>
              <w:t>Develop your writing skills</w:t>
            </w:r>
          </w:p>
          <w:p w14:paraId="72ACC03C" w14:textId="3A25D710" w:rsidR="00AF4613" w:rsidRPr="00662242" w:rsidRDefault="00AF4613" w:rsidP="00662242">
            <w:pPr>
              <w:pStyle w:val="ListParagraph"/>
              <w:numPr>
                <w:ilvl w:val="0"/>
                <w:numId w:val="20"/>
              </w:numPr>
              <w:rPr>
                <w:rFonts w:asciiTheme="majorHAnsi" w:hAnsiTheme="majorHAnsi" w:cstheme="majorHAnsi"/>
              </w:rPr>
            </w:pPr>
            <w:r w:rsidRPr="00662242">
              <w:rPr>
                <w:rFonts w:asciiTheme="majorHAnsi" w:hAnsiTheme="majorHAnsi" w:cstheme="majorHAnsi"/>
              </w:rPr>
              <w:t xml:space="preserve">Improve your capacity to plan, organize, </w:t>
            </w:r>
            <w:r w:rsidR="008D7A48" w:rsidRPr="00662242">
              <w:rPr>
                <w:rFonts w:asciiTheme="majorHAnsi" w:hAnsiTheme="majorHAnsi" w:cstheme="majorHAnsi"/>
              </w:rPr>
              <w:t>write,</w:t>
            </w:r>
            <w:r w:rsidRPr="00662242">
              <w:rPr>
                <w:rFonts w:asciiTheme="majorHAnsi" w:hAnsiTheme="majorHAnsi" w:cstheme="majorHAnsi"/>
              </w:rPr>
              <w:t xml:space="preserve"> and revise academic papers (in any subject!)</w:t>
            </w:r>
          </w:p>
          <w:p w14:paraId="6857B48E" w14:textId="517C4A32" w:rsidR="00AF4613" w:rsidRPr="00662242" w:rsidRDefault="00AF4613" w:rsidP="00662242">
            <w:pPr>
              <w:pStyle w:val="ListParagraph"/>
              <w:numPr>
                <w:ilvl w:val="0"/>
                <w:numId w:val="20"/>
              </w:numPr>
              <w:rPr>
                <w:rFonts w:asciiTheme="majorHAnsi" w:hAnsiTheme="majorHAnsi" w:cstheme="majorHAnsi"/>
              </w:rPr>
            </w:pPr>
            <w:r w:rsidRPr="00662242">
              <w:rPr>
                <w:rFonts w:asciiTheme="majorHAnsi" w:hAnsiTheme="majorHAnsi" w:cstheme="majorHAnsi"/>
              </w:rPr>
              <w:t>Manage ESL/EFL language challenges</w:t>
            </w:r>
          </w:p>
          <w:p w14:paraId="5F812665" w14:textId="3849F800" w:rsidR="00D954DB" w:rsidRDefault="00AF4613" w:rsidP="00AF4613">
            <w:pPr>
              <w:rPr>
                <w:rFonts w:asciiTheme="majorHAnsi" w:hAnsiTheme="majorHAnsi" w:cstheme="majorHAnsi"/>
                <w:b/>
                <w:bCs/>
              </w:rPr>
            </w:pPr>
            <w:r w:rsidRPr="00662242">
              <w:rPr>
                <w:rFonts w:asciiTheme="majorHAnsi" w:hAnsiTheme="majorHAnsi" w:cstheme="majorHAnsi"/>
              </w:rPr>
              <w:t xml:space="preserve">The </w:t>
            </w:r>
            <w:r w:rsidR="00B621C6" w:rsidRPr="00662242">
              <w:rPr>
                <w:rFonts w:asciiTheme="majorHAnsi" w:hAnsiTheme="majorHAnsi" w:cstheme="majorHAnsi"/>
              </w:rPr>
              <w:t>Centre</w:t>
            </w:r>
            <w:r w:rsidRPr="00662242">
              <w:rPr>
                <w:rFonts w:asciiTheme="majorHAnsi" w:hAnsiTheme="majorHAnsi" w:cstheme="majorHAnsi"/>
              </w:rPr>
              <w:t xml:space="preserve"> works with all students, for all assignments, at all stages of the writing process. Visit the website to book an appointment or for more information. </w:t>
            </w:r>
          </w:p>
        </w:tc>
      </w:tr>
      <w:tr w:rsidR="00D954DB" w14:paraId="7B535784" w14:textId="77777777" w:rsidTr="00662242">
        <w:tc>
          <w:tcPr>
            <w:tcW w:w="2405" w:type="dxa"/>
          </w:tcPr>
          <w:p w14:paraId="4FFF7D57" w14:textId="44E0C7F6" w:rsidR="00D954DB" w:rsidRPr="00662242" w:rsidRDefault="001F64AA" w:rsidP="00D954DB">
            <w:pPr>
              <w:rPr>
                <w:rFonts w:asciiTheme="majorHAnsi" w:hAnsiTheme="majorHAnsi" w:cstheme="majorHAnsi"/>
                <w:bCs/>
              </w:rPr>
            </w:pPr>
            <w:hyperlink r:id="rId35" w:history="1">
              <w:r w:rsidR="00AF4613" w:rsidRPr="00662242">
                <w:rPr>
                  <w:rStyle w:val="Hyperlink"/>
                  <w:rFonts w:ascii="Calibri" w:hAnsi="Calibri" w:cs="Calibri"/>
                  <w:bCs/>
                  <w:sz w:val="22"/>
                  <w:szCs w:val="22"/>
                </w:rPr>
                <w:t>U</w:t>
              </w:r>
              <w:r w:rsidR="00AF4613" w:rsidRPr="00662242">
                <w:rPr>
                  <w:rStyle w:val="Hyperlink"/>
                  <w:bCs/>
                </w:rPr>
                <w:t>ofT Academic Success Centre</w:t>
              </w:r>
            </w:hyperlink>
          </w:p>
        </w:tc>
        <w:tc>
          <w:tcPr>
            <w:tcW w:w="6945" w:type="dxa"/>
          </w:tcPr>
          <w:p w14:paraId="1778409C" w14:textId="7882F4A7" w:rsidR="00D954DB" w:rsidRDefault="00AF4613" w:rsidP="00D954DB">
            <w:pPr>
              <w:rPr>
                <w:rFonts w:asciiTheme="majorHAnsi" w:hAnsiTheme="majorHAnsi" w:cstheme="majorHAnsi"/>
                <w:b/>
                <w:bCs/>
              </w:rPr>
            </w:pPr>
            <w:r w:rsidRPr="004B3EAB">
              <w:rPr>
                <w:rFonts w:asciiTheme="majorHAnsi" w:hAnsiTheme="majorHAnsi" w:cstheme="majorHAnsi"/>
              </w:rPr>
              <w:t>O</w:t>
            </w:r>
            <w:r>
              <w:rPr>
                <w:rFonts w:asciiTheme="majorHAnsi" w:hAnsiTheme="majorHAnsi" w:cstheme="majorHAnsi"/>
                <w:bCs/>
              </w:rPr>
              <w:t>ffers group workshops and individual counselling to develop strategies for a range of learning challenges such as time management, stress and anxiety, memory, exams, note taking, textbook reading, concentration.</w:t>
            </w:r>
          </w:p>
        </w:tc>
      </w:tr>
      <w:tr w:rsidR="00D954DB" w14:paraId="104A8957" w14:textId="77777777" w:rsidTr="00662242">
        <w:tc>
          <w:tcPr>
            <w:tcW w:w="2405" w:type="dxa"/>
          </w:tcPr>
          <w:p w14:paraId="10D0019E" w14:textId="5AF3C02F" w:rsidR="00F42759" w:rsidRPr="00662242" w:rsidRDefault="001F64AA" w:rsidP="00662242">
            <w:pPr>
              <w:rPr>
                <w:rFonts w:ascii="Calibri" w:hAnsi="Calibri" w:cs="Calibri"/>
                <w:bCs/>
                <w:sz w:val="22"/>
                <w:szCs w:val="22"/>
              </w:rPr>
            </w:pPr>
            <w:hyperlink r:id="rId36" w:history="1">
              <w:r w:rsidR="00F42759" w:rsidRPr="00662242">
                <w:rPr>
                  <w:rStyle w:val="Hyperlink"/>
                  <w:rFonts w:ascii="Calibri" w:hAnsi="Calibri" w:cs="Calibri"/>
                  <w:bCs/>
                  <w:sz w:val="22"/>
                  <w:szCs w:val="22"/>
                </w:rPr>
                <w:t>U</w:t>
              </w:r>
              <w:r w:rsidR="00F42759" w:rsidRPr="00F42759">
                <w:rPr>
                  <w:rStyle w:val="Hyperlink"/>
                  <w:rFonts w:ascii="Calibri" w:hAnsi="Calibri" w:cs="Calibri"/>
                  <w:bCs/>
                  <w:sz w:val="22"/>
                  <w:szCs w:val="22"/>
                </w:rPr>
                <w:t>ofT C</w:t>
              </w:r>
              <w:r w:rsidR="00F42759" w:rsidRPr="00662242">
                <w:rPr>
                  <w:rStyle w:val="Hyperlink"/>
                  <w:bCs/>
                </w:rPr>
                <w:t>areer Services</w:t>
              </w:r>
            </w:hyperlink>
            <w:r w:rsidR="00F42759" w:rsidRPr="00F42759">
              <w:rPr>
                <w:rFonts w:ascii="Calibri" w:hAnsi="Calibri" w:cs="Calibri"/>
                <w:bCs/>
                <w:sz w:val="22"/>
                <w:szCs w:val="22"/>
              </w:rPr>
              <w:t xml:space="preserve"> </w:t>
            </w:r>
          </w:p>
          <w:p w14:paraId="475161A8" w14:textId="77777777" w:rsidR="00D954DB" w:rsidRDefault="00D954DB" w:rsidP="00D954DB">
            <w:pPr>
              <w:rPr>
                <w:rFonts w:asciiTheme="majorHAnsi" w:hAnsiTheme="majorHAnsi" w:cstheme="majorHAnsi"/>
                <w:b/>
                <w:bCs/>
              </w:rPr>
            </w:pPr>
          </w:p>
        </w:tc>
        <w:tc>
          <w:tcPr>
            <w:tcW w:w="6945" w:type="dxa"/>
          </w:tcPr>
          <w:p w14:paraId="4CC3349B" w14:textId="1E63A4F3" w:rsidR="00F42759" w:rsidRPr="00662242" w:rsidRDefault="00F42759" w:rsidP="00F42759">
            <w:pPr>
              <w:rPr>
                <w:rFonts w:asciiTheme="majorHAnsi" w:hAnsiTheme="majorHAnsi" w:cstheme="majorHAnsi"/>
              </w:rPr>
            </w:pPr>
            <w:r w:rsidRPr="00662242">
              <w:rPr>
                <w:rFonts w:asciiTheme="majorHAnsi" w:hAnsiTheme="majorHAnsi" w:cstheme="majorHAnsi"/>
              </w:rPr>
              <w:t>Provides opportunities to meet employers, industry experts and alumni; strategies to Identify goals and navigate career decisions; and</w:t>
            </w:r>
          </w:p>
          <w:p w14:paraId="181C49DE" w14:textId="3427AA38" w:rsidR="00D954DB" w:rsidRDefault="00F42759" w:rsidP="00F42759">
            <w:pPr>
              <w:rPr>
                <w:rFonts w:asciiTheme="majorHAnsi" w:hAnsiTheme="majorHAnsi" w:cstheme="majorHAnsi"/>
                <w:b/>
                <w:bCs/>
              </w:rPr>
            </w:pPr>
            <w:r w:rsidRPr="00662242">
              <w:rPr>
                <w:rFonts w:asciiTheme="majorHAnsi" w:hAnsiTheme="majorHAnsi" w:cstheme="majorHAnsi"/>
              </w:rPr>
              <w:t xml:space="preserve">resources: Improve your resume, </w:t>
            </w:r>
            <w:r w:rsidR="008D7A48" w:rsidRPr="00662242">
              <w:rPr>
                <w:rFonts w:asciiTheme="majorHAnsi" w:hAnsiTheme="majorHAnsi" w:cstheme="majorHAnsi"/>
              </w:rPr>
              <w:t>interviews,</w:t>
            </w:r>
            <w:r w:rsidRPr="00662242">
              <w:rPr>
                <w:rFonts w:asciiTheme="majorHAnsi" w:hAnsiTheme="majorHAnsi" w:cstheme="majorHAnsi"/>
              </w:rPr>
              <w:t xml:space="preserve"> and online presence.</w:t>
            </w:r>
          </w:p>
        </w:tc>
      </w:tr>
    </w:tbl>
    <w:p w14:paraId="0E3152D7" w14:textId="77777777" w:rsidR="003C735A" w:rsidRPr="0091494E" w:rsidRDefault="003C735A">
      <w:pPr>
        <w:rPr>
          <w:rFonts w:asciiTheme="majorHAnsi" w:hAnsiTheme="majorHAnsi" w:cstheme="majorHAnsi"/>
          <w:i/>
          <w:iCs/>
        </w:rPr>
      </w:pPr>
    </w:p>
    <w:sectPr w:rsidR="003C735A" w:rsidRPr="0091494E" w:rsidSect="00BE3927">
      <w:headerReference w:type="default" r:id="rId37"/>
      <w:footerReference w:type="defaul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8D53" w14:textId="77777777" w:rsidR="00B53B66" w:rsidRDefault="00B53B66">
      <w:r>
        <w:separator/>
      </w:r>
    </w:p>
  </w:endnote>
  <w:endnote w:type="continuationSeparator" w:id="0">
    <w:p w14:paraId="2698D472" w14:textId="77777777" w:rsidR="00B53B66" w:rsidRDefault="00B53B66">
      <w:r>
        <w:continuationSeparator/>
      </w:r>
    </w:p>
  </w:endnote>
  <w:endnote w:type="continuationNotice" w:id="1">
    <w:p w14:paraId="338E6653" w14:textId="77777777" w:rsidR="00B53B66" w:rsidRDefault="00B53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3F2B5C6" w14:paraId="3AE7BEB2" w14:textId="77777777" w:rsidTr="004A7ED6">
      <w:tc>
        <w:tcPr>
          <w:tcW w:w="3120" w:type="dxa"/>
        </w:tcPr>
        <w:p w14:paraId="3CDC7C06" w14:textId="1FE9E234" w:rsidR="43F2B5C6" w:rsidRDefault="43F2B5C6" w:rsidP="004A7ED6">
          <w:pPr>
            <w:pStyle w:val="Header"/>
            <w:ind w:left="-115"/>
          </w:pPr>
        </w:p>
      </w:tc>
      <w:tc>
        <w:tcPr>
          <w:tcW w:w="3120" w:type="dxa"/>
        </w:tcPr>
        <w:p w14:paraId="7E5E4BB4" w14:textId="41CA7909" w:rsidR="43F2B5C6" w:rsidRDefault="43F2B5C6" w:rsidP="004A7ED6">
          <w:pPr>
            <w:pStyle w:val="Header"/>
            <w:jc w:val="center"/>
          </w:pPr>
        </w:p>
      </w:tc>
      <w:tc>
        <w:tcPr>
          <w:tcW w:w="3120" w:type="dxa"/>
        </w:tcPr>
        <w:p w14:paraId="587C8672" w14:textId="50E5F150" w:rsidR="43F2B5C6" w:rsidRDefault="43F2B5C6" w:rsidP="004A7ED6">
          <w:pPr>
            <w:pStyle w:val="Header"/>
            <w:ind w:right="-115"/>
            <w:jc w:val="right"/>
          </w:pPr>
        </w:p>
      </w:tc>
    </w:tr>
  </w:tbl>
  <w:p w14:paraId="47F50A45" w14:textId="2DBF10BF" w:rsidR="43F2B5C6" w:rsidRDefault="43F2B5C6" w:rsidP="004A7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880F" w14:textId="77777777" w:rsidR="00B53B66" w:rsidRDefault="00B53B66">
      <w:r>
        <w:separator/>
      </w:r>
    </w:p>
  </w:footnote>
  <w:footnote w:type="continuationSeparator" w:id="0">
    <w:p w14:paraId="4FA5AFA8" w14:textId="77777777" w:rsidR="00B53B66" w:rsidRDefault="00B53B66">
      <w:r>
        <w:continuationSeparator/>
      </w:r>
    </w:p>
  </w:footnote>
  <w:footnote w:type="continuationNotice" w:id="1">
    <w:p w14:paraId="0C4AEDBC" w14:textId="77777777" w:rsidR="00B53B66" w:rsidRDefault="00B53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3F2B5C6" w14:paraId="5E0E8718" w14:textId="77777777" w:rsidTr="004A7ED6">
      <w:tc>
        <w:tcPr>
          <w:tcW w:w="3120" w:type="dxa"/>
        </w:tcPr>
        <w:p w14:paraId="68F8EE79" w14:textId="11D93A4F" w:rsidR="43F2B5C6" w:rsidRDefault="43F2B5C6" w:rsidP="004A7ED6">
          <w:pPr>
            <w:pStyle w:val="Header"/>
            <w:ind w:left="-115"/>
          </w:pPr>
        </w:p>
      </w:tc>
      <w:tc>
        <w:tcPr>
          <w:tcW w:w="3120" w:type="dxa"/>
        </w:tcPr>
        <w:p w14:paraId="61D5A6E5" w14:textId="4F7DD759" w:rsidR="43F2B5C6" w:rsidRDefault="43F2B5C6" w:rsidP="004A7ED6">
          <w:pPr>
            <w:pStyle w:val="Header"/>
            <w:jc w:val="center"/>
          </w:pPr>
        </w:p>
      </w:tc>
      <w:tc>
        <w:tcPr>
          <w:tcW w:w="3120" w:type="dxa"/>
        </w:tcPr>
        <w:p w14:paraId="5FE6F9CC" w14:textId="2912AF01" w:rsidR="43F2B5C6" w:rsidRDefault="43F2B5C6" w:rsidP="004A7ED6">
          <w:pPr>
            <w:pStyle w:val="Header"/>
            <w:ind w:right="-115"/>
            <w:jc w:val="right"/>
          </w:pPr>
        </w:p>
      </w:tc>
    </w:tr>
  </w:tbl>
  <w:p w14:paraId="7E50AF2B" w14:textId="671CB7B7" w:rsidR="43F2B5C6" w:rsidRDefault="43F2B5C6" w:rsidP="004A7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3D59"/>
    <w:multiLevelType w:val="multilevel"/>
    <w:tmpl w:val="7054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A40BF"/>
    <w:multiLevelType w:val="hybridMultilevel"/>
    <w:tmpl w:val="8EA4C0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D4779"/>
    <w:multiLevelType w:val="multilevel"/>
    <w:tmpl w:val="8788163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B199B"/>
    <w:multiLevelType w:val="hybridMultilevel"/>
    <w:tmpl w:val="307A3C8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A581F"/>
    <w:multiLevelType w:val="hybridMultilevel"/>
    <w:tmpl w:val="B5B0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C7BB1"/>
    <w:multiLevelType w:val="hybridMultilevel"/>
    <w:tmpl w:val="9192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3ACF"/>
    <w:multiLevelType w:val="multilevel"/>
    <w:tmpl w:val="BE2A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D1572"/>
    <w:multiLevelType w:val="multilevel"/>
    <w:tmpl w:val="C904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AE1CAA"/>
    <w:multiLevelType w:val="hybridMultilevel"/>
    <w:tmpl w:val="CADC09F2"/>
    <w:lvl w:ilvl="0" w:tplc="0D165308">
      <w:numFmt w:val="bullet"/>
      <w:lvlText w:val="·"/>
      <w:lvlJc w:val="left"/>
      <w:pPr>
        <w:ind w:left="720" w:hanging="360"/>
      </w:pPr>
      <w:rPr>
        <w:rFonts w:ascii="Arial" w:eastAsia="Symbol"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24696"/>
    <w:multiLevelType w:val="multilevel"/>
    <w:tmpl w:val="6F5ED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D74A9C"/>
    <w:multiLevelType w:val="multilevel"/>
    <w:tmpl w:val="8788163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900E07"/>
    <w:multiLevelType w:val="hybridMultilevel"/>
    <w:tmpl w:val="FFFFFFFF"/>
    <w:lvl w:ilvl="0" w:tplc="8D0EF0AE">
      <w:start w:val="1"/>
      <w:numFmt w:val="bullet"/>
      <w:lvlText w:val=""/>
      <w:lvlJc w:val="left"/>
      <w:pPr>
        <w:ind w:left="720" w:hanging="360"/>
      </w:pPr>
      <w:rPr>
        <w:rFonts w:ascii="Symbol" w:hAnsi="Symbol" w:hint="default"/>
      </w:rPr>
    </w:lvl>
    <w:lvl w:ilvl="1" w:tplc="0BE83322">
      <w:start w:val="1"/>
      <w:numFmt w:val="bullet"/>
      <w:lvlText w:val="o"/>
      <w:lvlJc w:val="left"/>
      <w:pPr>
        <w:ind w:left="1440" w:hanging="360"/>
      </w:pPr>
      <w:rPr>
        <w:rFonts w:ascii="Courier New" w:hAnsi="Courier New" w:hint="default"/>
      </w:rPr>
    </w:lvl>
    <w:lvl w:ilvl="2" w:tplc="FAE009C2">
      <w:start w:val="1"/>
      <w:numFmt w:val="bullet"/>
      <w:lvlText w:val=""/>
      <w:lvlJc w:val="left"/>
      <w:pPr>
        <w:ind w:left="2160" w:hanging="360"/>
      </w:pPr>
      <w:rPr>
        <w:rFonts w:ascii="Wingdings" w:hAnsi="Wingdings" w:hint="default"/>
      </w:rPr>
    </w:lvl>
    <w:lvl w:ilvl="3" w:tplc="AFACD022">
      <w:start w:val="1"/>
      <w:numFmt w:val="bullet"/>
      <w:lvlText w:val=""/>
      <w:lvlJc w:val="left"/>
      <w:pPr>
        <w:ind w:left="2880" w:hanging="360"/>
      </w:pPr>
      <w:rPr>
        <w:rFonts w:ascii="Symbol" w:hAnsi="Symbol" w:hint="default"/>
      </w:rPr>
    </w:lvl>
    <w:lvl w:ilvl="4" w:tplc="4B2C62EA">
      <w:start w:val="1"/>
      <w:numFmt w:val="bullet"/>
      <w:lvlText w:val="o"/>
      <w:lvlJc w:val="left"/>
      <w:pPr>
        <w:ind w:left="3600" w:hanging="360"/>
      </w:pPr>
      <w:rPr>
        <w:rFonts w:ascii="Courier New" w:hAnsi="Courier New" w:hint="default"/>
      </w:rPr>
    </w:lvl>
    <w:lvl w:ilvl="5" w:tplc="2C622F2E">
      <w:start w:val="1"/>
      <w:numFmt w:val="bullet"/>
      <w:lvlText w:val=""/>
      <w:lvlJc w:val="left"/>
      <w:pPr>
        <w:ind w:left="4320" w:hanging="360"/>
      </w:pPr>
      <w:rPr>
        <w:rFonts w:ascii="Wingdings" w:hAnsi="Wingdings" w:hint="default"/>
      </w:rPr>
    </w:lvl>
    <w:lvl w:ilvl="6" w:tplc="733E92D6">
      <w:start w:val="1"/>
      <w:numFmt w:val="bullet"/>
      <w:lvlText w:val=""/>
      <w:lvlJc w:val="left"/>
      <w:pPr>
        <w:ind w:left="5040" w:hanging="360"/>
      </w:pPr>
      <w:rPr>
        <w:rFonts w:ascii="Symbol" w:hAnsi="Symbol" w:hint="default"/>
      </w:rPr>
    </w:lvl>
    <w:lvl w:ilvl="7" w:tplc="8B6A0D6E">
      <w:start w:val="1"/>
      <w:numFmt w:val="bullet"/>
      <w:lvlText w:val="o"/>
      <w:lvlJc w:val="left"/>
      <w:pPr>
        <w:ind w:left="5760" w:hanging="360"/>
      </w:pPr>
      <w:rPr>
        <w:rFonts w:ascii="Courier New" w:hAnsi="Courier New" w:hint="default"/>
      </w:rPr>
    </w:lvl>
    <w:lvl w:ilvl="8" w:tplc="995011F8">
      <w:start w:val="1"/>
      <w:numFmt w:val="bullet"/>
      <w:lvlText w:val=""/>
      <w:lvlJc w:val="left"/>
      <w:pPr>
        <w:ind w:left="6480" w:hanging="360"/>
      </w:pPr>
      <w:rPr>
        <w:rFonts w:ascii="Wingdings" w:hAnsi="Wingdings" w:hint="default"/>
      </w:rPr>
    </w:lvl>
  </w:abstractNum>
  <w:abstractNum w:abstractNumId="12" w15:restartNumberingAfterBreak="0">
    <w:nsid w:val="3F9E6392"/>
    <w:multiLevelType w:val="hybridMultilevel"/>
    <w:tmpl w:val="258A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E5F7C"/>
    <w:multiLevelType w:val="hybridMultilevel"/>
    <w:tmpl w:val="AB80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76466"/>
    <w:multiLevelType w:val="hybridMultilevel"/>
    <w:tmpl w:val="CC78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B5CBE"/>
    <w:multiLevelType w:val="hybridMultilevel"/>
    <w:tmpl w:val="4D28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211BB"/>
    <w:multiLevelType w:val="hybridMultilevel"/>
    <w:tmpl w:val="B200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37E33"/>
    <w:multiLevelType w:val="hybridMultilevel"/>
    <w:tmpl w:val="FFFFFFFF"/>
    <w:lvl w:ilvl="0" w:tplc="60B0B2D8">
      <w:start w:val="1"/>
      <w:numFmt w:val="bullet"/>
      <w:lvlText w:val=""/>
      <w:lvlJc w:val="left"/>
      <w:pPr>
        <w:ind w:left="720" w:hanging="360"/>
      </w:pPr>
      <w:rPr>
        <w:rFonts w:ascii="Symbol" w:hAnsi="Symbol" w:hint="default"/>
      </w:rPr>
    </w:lvl>
    <w:lvl w:ilvl="1" w:tplc="A2307744">
      <w:start w:val="1"/>
      <w:numFmt w:val="bullet"/>
      <w:lvlText w:val="o"/>
      <w:lvlJc w:val="left"/>
      <w:pPr>
        <w:ind w:left="1440" w:hanging="360"/>
      </w:pPr>
      <w:rPr>
        <w:rFonts w:ascii="Courier New" w:hAnsi="Courier New" w:hint="default"/>
      </w:rPr>
    </w:lvl>
    <w:lvl w:ilvl="2" w:tplc="D0D2A8AA">
      <w:start w:val="1"/>
      <w:numFmt w:val="bullet"/>
      <w:lvlText w:val=""/>
      <w:lvlJc w:val="left"/>
      <w:pPr>
        <w:ind w:left="2160" w:hanging="360"/>
      </w:pPr>
      <w:rPr>
        <w:rFonts w:ascii="Wingdings" w:hAnsi="Wingdings" w:hint="default"/>
      </w:rPr>
    </w:lvl>
    <w:lvl w:ilvl="3" w:tplc="1C265860">
      <w:start w:val="1"/>
      <w:numFmt w:val="bullet"/>
      <w:lvlText w:val=""/>
      <w:lvlJc w:val="left"/>
      <w:pPr>
        <w:ind w:left="2880" w:hanging="360"/>
      </w:pPr>
      <w:rPr>
        <w:rFonts w:ascii="Symbol" w:hAnsi="Symbol" w:hint="default"/>
      </w:rPr>
    </w:lvl>
    <w:lvl w:ilvl="4" w:tplc="AB7EA1C4">
      <w:start w:val="1"/>
      <w:numFmt w:val="bullet"/>
      <w:lvlText w:val="o"/>
      <w:lvlJc w:val="left"/>
      <w:pPr>
        <w:ind w:left="3600" w:hanging="360"/>
      </w:pPr>
      <w:rPr>
        <w:rFonts w:ascii="Courier New" w:hAnsi="Courier New" w:hint="default"/>
      </w:rPr>
    </w:lvl>
    <w:lvl w:ilvl="5" w:tplc="50123E1A">
      <w:start w:val="1"/>
      <w:numFmt w:val="bullet"/>
      <w:lvlText w:val=""/>
      <w:lvlJc w:val="left"/>
      <w:pPr>
        <w:ind w:left="4320" w:hanging="360"/>
      </w:pPr>
      <w:rPr>
        <w:rFonts w:ascii="Wingdings" w:hAnsi="Wingdings" w:hint="default"/>
      </w:rPr>
    </w:lvl>
    <w:lvl w:ilvl="6" w:tplc="D7BA82BA">
      <w:start w:val="1"/>
      <w:numFmt w:val="bullet"/>
      <w:lvlText w:val=""/>
      <w:lvlJc w:val="left"/>
      <w:pPr>
        <w:ind w:left="5040" w:hanging="360"/>
      </w:pPr>
      <w:rPr>
        <w:rFonts w:ascii="Symbol" w:hAnsi="Symbol" w:hint="default"/>
      </w:rPr>
    </w:lvl>
    <w:lvl w:ilvl="7" w:tplc="A52AB094">
      <w:start w:val="1"/>
      <w:numFmt w:val="bullet"/>
      <w:lvlText w:val="o"/>
      <w:lvlJc w:val="left"/>
      <w:pPr>
        <w:ind w:left="5760" w:hanging="360"/>
      </w:pPr>
      <w:rPr>
        <w:rFonts w:ascii="Courier New" w:hAnsi="Courier New" w:hint="default"/>
      </w:rPr>
    </w:lvl>
    <w:lvl w:ilvl="8" w:tplc="BEFE8602">
      <w:start w:val="1"/>
      <w:numFmt w:val="bullet"/>
      <w:lvlText w:val=""/>
      <w:lvlJc w:val="left"/>
      <w:pPr>
        <w:ind w:left="6480" w:hanging="360"/>
      </w:pPr>
      <w:rPr>
        <w:rFonts w:ascii="Wingdings" w:hAnsi="Wingdings" w:hint="default"/>
      </w:rPr>
    </w:lvl>
  </w:abstractNum>
  <w:abstractNum w:abstractNumId="18" w15:restartNumberingAfterBreak="0">
    <w:nsid w:val="64C5195E"/>
    <w:multiLevelType w:val="hybridMultilevel"/>
    <w:tmpl w:val="D1A2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96B3A"/>
    <w:multiLevelType w:val="hybridMultilevel"/>
    <w:tmpl w:val="67E8CB64"/>
    <w:lvl w:ilvl="0" w:tplc="7AE624D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627ED"/>
    <w:multiLevelType w:val="multilevel"/>
    <w:tmpl w:val="BB8A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6C4773"/>
    <w:multiLevelType w:val="hybridMultilevel"/>
    <w:tmpl w:val="7C7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C39F7"/>
    <w:multiLevelType w:val="hybridMultilevel"/>
    <w:tmpl w:val="0CE03886"/>
    <w:lvl w:ilvl="0" w:tplc="04090001">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28647170">
    <w:abstractNumId w:val="17"/>
  </w:num>
  <w:num w:numId="2" w16cid:durableId="206307842">
    <w:abstractNumId w:val="11"/>
  </w:num>
  <w:num w:numId="3" w16cid:durableId="1833595099">
    <w:abstractNumId w:val="6"/>
  </w:num>
  <w:num w:numId="4" w16cid:durableId="1414937019">
    <w:abstractNumId w:val="0"/>
  </w:num>
  <w:num w:numId="5" w16cid:durableId="586381926">
    <w:abstractNumId w:val="9"/>
  </w:num>
  <w:num w:numId="6" w16cid:durableId="477766878">
    <w:abstractNumId w:val="10"/>
  </w:num>
  <w:num w:numId="7" w16cid:durableId="211380742">
    <w:abstractNumId w:val="1"/>
  </w:num>
  <w:num w:numId="8" w16cid:durableId="523399486">
    <w:abstractNumId w:val="4"/>
  </w:num>
  <w:num w:numId="9" w16cid:durableId="63376444">
    <w:abstractNumId w:val="2"/>
  </w:num>
  <w:num w:numId="10" w16cid:durableId="345988636">
    <w:abstractNumId w:val="19"/>
  </w:num>
  <w:num w:numId="11" w16cid:durableId="1381859193">
    <w:abstractNumId w:val="14"/>
  </w:num>
  <w:num w:numId="12" w16cid:durableId="1107851734">
    <w:abstractNumId w:val="7"/>
  </w:num>
  <w:num w:numId="13" w16cid:durableId="730617532">
    <w:abstractNumId w:val="3"/>
  </w:num>
  <w:num w:numId="14" w16cid:durableId="686365228">
    <w:abstractNumId w:val="20"/>
  </w:num>
  <w:num w:numId="15" w16cid:durableId="1699311244">
    <w:abstractNumId w:val="12"/>
  </w:num>
  <w:num w:numId="16" w16cid:durableId="1051226310">
    <w:abstractNumId w:val="21"/>
  </w:num>
  <w:num w:numId="17" w16cid:durableId="617372546">
    <w:abstractNumId w:val="16"/>
  </w:num>
  <w:num w:numId="18" w16cid:durableId="1582369792">
    <w:abstractNumId w:val="8"/>
  </w:num>
  <w:num w:numId="19" w16cid:durableId="988287230">
    <w:abstractNumId w:val="22"/>
  </w:num>
  <w:num w:numId="20" w16cid:durableId="338505138">
    <w:abstractNumId w:val="13"/>
  </w:num>
  <w:num w:numId="21" w16cid:durableId="1365401778">
    <w:abstractNumId w:val="18"/>
  </w:num>
  <w:num w:numId="22" w16cid:durableId="1294869207">
    <w:abstractNumId w:val="15"/>
  </w:num>
  <w:num w:numId="23" w16cid:durableId="202140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A6"/>
    <w:rsid w:val="00001D30"/>
    <w:rsid w:val="00012C8D"/>
    <w:rsid w:val="00022925"/>
    <w:rsid w:val="00024572"/>
    <w:rsid w:val="00025963"/>
    <w:rsid w:val="0002725E"/>
    <w:rsid w:val="00041C37"/>
    <w:rsid w:val="000558BD"/>
    <w:rsid w:val="000655DC"/>
    <w:rsid w:val="00082029"/>
    <w:rsid w:val="000A139D"/>
    <w:rsid w:val="000A4AF9"/>
    <w:rsid w:val="000B1988"/>
    <w:rsid w:val="000D2DB5"/>
    <w:rsid w:val="000E5839"/>
    <w:rsid w:val="000F1156"/>
    <w:rsid w:val="00103DC0"/>
    <w:rsid w:val="0010623F"/>
    <w:rsid w:val="00106667"/>
    <w:rsid w:val="00126E7E"/>
    <w:rsid w:val="001312CE"/>
    <w:rsid w:val="0015001D"/>
    <w:rsid w:val="001634B0"/>
    <w:rsid w:val="00185A61"/>
    <w:rsid w:val="001D27F2"/>
    <w:rsid w:val="001F64AA"/>
    <w:rsid w:val="00216643"/>
    <w:rsid w:val="002270B7"/>
    <w:rsid w:val="00232B7B"/>
    <w:rsid w:val="00261318"/>
    <w:rsid w:val="0026170B"/>
    <w:rsid w:val="002B7AF3"/>
    <w:rsid w:val="002C62E0"/>
    <w:rsid w:val="002D7FFD"/>
    <w:rsid w:val="00322635"/>
    <w:rsid w:val="00344E66"/>
    <w:rsid w:val="00346BF5"/>
    <w:rsid w:val="00347336"/>
    <w:rsid w:val="00356D07"/>
    <w:rsid w:val="003660D8"/>
    <w:rsid w:val="00373703"/>
    <w:rsid w:val="0039266D"/>
    <w:rsid w:val="003C6AD0"/>
    <w:rsid w:val="003C735A"/>
    <w:rsid w:val="003C77CB"/>
    <w:rsid w:val="003D35B8"/>
    <w:rsid w:val="00421537"/>
    <w:rsid w:val="00430AA2"/>
    <w:rsid w:val="0043163E"/>
    <w:rsid w:val="00447606"/>
    <w:rsid w:val="00496E90"/>
    <w:rsid w:val="004A0692"/>
    <w:rsid w:val="004A7ED6"/>
    <w:rsid w:val="004B3EAB"/>
    <w:rsid w:val="004B6F0D"/>
    <w:rsid w:val="004D1A63"/>
    <w:rsid w:val="004F3F78"/>
    <w:rsid w:val="00510634"/>
    <w:rsid w:val="00557B39"/>
    <w:rsid w:val="005615CB"/>
    <w:rsid w:val="005D625E"/>
    <w:rsid w:val="00611E55"/>
    <w:rsid w:val="00647058"/>
    <w:rsid w:val="00662242"/>
    <w:rsid w:val="00662930"/>
    <w:rsid w:val="0066332E"/>
    <w:rsid w:val="00665798"/>
    <w:rsid w:val="00666851"/>
    <w:rsid w:val="006D0E24"/>
    <w:rsid w:val="006E4138"/>
    <w:rsid w:val="00730CF8"/>
    <w:rsid w:val="007450C9"/>
    <w:rsid w:val="007535CB"/>
    <w:rsid w:val="00777DC9"/>
    <w:rsid w:val="00787BDB"/>
    <w:rsid w:val="00794290"/>
    <w:rsid w:val="007A6CFF"/>
    <w:rsid w:val="007B1B41"/>
    <w:rsid w:val="007D103C"/>
    <w:rsid w:val="007D3A90"/>
    <w:rsid w:val="007E4079"/>
    <w:rsid w:val="007F35A0"/>
    <w:rsid w:val="00803870"/>
    <w:rsid w:val="00833265"/>
    <w:rsid w:val="008442A7"/>
    <w:rsid w:val="0084748E"/>
    <w:rsid w:val="008769B8"/>
    <w:rsid w:val="00886058"/>
    <w:rsid w:val="00895F83"/>
    <w:rsid w:val="008A3CB8"/>
    <w:rsid w:val="008A4895"/>
    <w:rsid w:val="008A6A86"/>
    <w:rsid w:val="008B3E6B"/>
    <w:rsid w:val="008C5741"/>
    <w:rsid w:val="008D3755"/>
    <w:rsid w:val="008D5162"/>
    <w:rsid w:val="008D7A48"/>
    <w:rsid w:val="00903519"/>
    <w:rsid w:val="0090772F"/>
    <w:rsid w:val="0091494E"/>
    <w:rsid w:val="00922941"/>
    <w:rsid w:val="00930BA7"/>
    <w:rsid w:val="009420FC"/>
    <w:rsid w:val="00962A12"/>
    <w:rsid w:val="00982740"/>
    <w:rsid w:val="00990CA0"/>
    <w:rsid w:val="00993D83"/>
    <w:rsid w:val="009A06AB"/>
    <w:rsid w:val="009A0A8E"/>
    <w:rsid w:val="009B4762"/>
    <w:rsid w:val="009B6DF5"/>
    <w:rsid w:val="009B7DE9"/>
    <w:rsid w:val="009C7E94"/>
    <w:rsid w:val="009E4B73"/>
    <w:rsid w:val="009F7481"/>
    <w:rsid w:val="00A01E01"/>
    <w:rsid w:val="00A11AD9"/>
    <w:rsid w:val="00A148A1"/>
    <w:rsid w:val="00A51F8D"/>
    <w:rsid w:val="00A73A79"/>
    <w:rsid w:val="00A74CCC"/>
    <w:rsid w:val="00A75249"/>
    <w:rsid w:val="00A7564B"/>
    <w:rsid w:val="00A7625E"/>
    <w:rsid w:val="00A82A58"/>
    <w:rsid w:val="00A96DE5"/>
    <w:rsid w:val="00AB6F60"/>
    <w:rsid w:val="00AE64A0"/>
    <w:rsid w:val="00AF4613"/>
    <w:rsid w:val="00B0005F"/>
    <w:rsid w:val="00B35906"/>
    <w:rsid w:val="00B53B66"/>
    <w:rsid w:val="00B56A2D"/>
    <w:rsid w:val="00B621C6"/>
    <w:rsid w:val="00B63C34"/>
    <w:rsid w:val="00B72BF2"/>
    <w:rsid w:val="00BE3927"/>
    <w:rsid w:val="00C07791"/>
    <w:rsid w:val="00C243BC"/>
    <w:rsid w:val="00C31EC4"/>
    <w:rsid w:val="00C42F38"/>
    <w:rsid w:val="00C47F58"/>
    <w:rsid w:val="00C52F21"/>
    <w:rsid w:val="00C7188E"/>
    <w:rsid w:val="00C77325"/>
    <w:rsid w:val="00C908AC"/>
    <w:rsid w:val="00C95A06"/>
    <w:rsid w:val="00C972C2"/>
    <w:rsid w:val="00CA0793"/>
    <w:rsid w:val="00CA25C4"/>
    <w:rsid w:val="00CB4703"/>
    <w:rsid w:val="00CD6C1A"/>
    <w:rsid w:val="00CD7ABB"/>
    <w:rsid w:val="00CF69C1"/>
    <w:rsid w:val="00CF796C"/>
    <w:rsid w:val="00D02E9A"/>
    <w:rsid w:val="00D12534"/>
    <w:rsid w:val="00D13602"/>
    <w:rsid w:val="00D1531D"/>
    <w:rsid w:val="00D220BD"/>
    <w:rsid w:val="00D24965"/>
    <w:rsid w:val="00D80815"/>
    <w:rsid w:val="00D87146"/>
    <w:rsid w:val="00D9037A"/>
    <w:rsid w:val="00D954DB"/>
    <w:rsid w:val="00D978A7"/>
    <w:rsid w:val="00DA241F"/>
    <w:rsid w:val="00DF092D"/>
    <w:rsid w:val="00DF78C1"/>
    <w:rsid w:val="00E157D6"/>
    <w:rsid w:val="00E20E7C"/>
    <w:rsid w:val="00E33BDE"/>
    <w:rsid w:val="00E40C7E"/>
    <w:rsid w:val="00E55100"/>
    <w:rsid w:val="00E82FC7"/>
    <w:rsid w:val="00E8355B"/>
    <w:rsid w:val="00EA42C7"/>
    <w:rsid w:val="00EB17A6"/>
    <w:rsid w:val="00EB6D70"/>
    <w:rsid w:val="00EB6DE9"/>
    <w:rsid w:val="00EC1664"/>
    <w:rsid w:val="00EE0712"/>
    <w:rsid w:val="00EE3DCB"/>
    <w:rsid w:val="00EF06CA"/>
    <w:rsid w:val="00EF1903"/>
    <w:rsid w:val="00F07BE4"/>
    <w:rsid w:val="00F12B7E"/>
    <w:rsid w:val="00F23BF2"/>
    <w:rsid w:val="00F42759"/>
    <w:rsid w:val="00F4633F"/>
    <w:rsid w:val="00F61C78"/>
    <w:rsid w:val="00F6275B"/>
    <w:rsid w:val="00F66E2D"/>
    <w:rsid w:val="00F746A6"/>
    <w:rsid w:val="00F957F2"/>
    <w:rsid w:val="00FC1B81"/>
    <w:rsid w:val="00FC33A2"/>
    <w:rsid w:val="00FC5F22"/>
    <w:rsid w:val="00FE18EE"/>
    <w:rsid w:val="00FE258F"/>
    <w:rsid w:val="0553747F"/>
    <w:rsid w:val="097A018F"/>
    <w:rsid w:val="1787BD5C"/>
    <w:rsid w:val="1C9853C8"/>
    <w:rsid w:val="207FEF7E"/>
    <w:rsid w:val="22263D1B"/>
    <w:rsid w:val="3800082B"/>
    <w:rsid w:val="39863CFF"/>
    <w:rsid w:val="3A19AAFF"/>
    <w:rsid w:val="3CD8CD76"/>
    <w:rsid w:val="43F2B5C6"/>
    <w:rsid w:val="48E9D61F"/>
    <w:rsid w:val="5276BC22"/>
    <w:rsid w:val="60D621C1"/>
    <w:rsid w:val="6924FBA5"/>
    <w:rsid w:val="6C21595B"/>
    <w:rsid w:val="7E3E8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8376"/>
  <w14:defaultImageDpi w14:val="32767"/>
  <w15:chartTrackingRefBased/>
  <w15:docId w15:val="{6FFFBE57-C2BB-4977-90F0-F307D5F8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7A6"/>
    <w:rPr>
      <w:color w:val="0563C1" w:themeColor="hyperlink"/>
      <w:u w:val="single"/>
    </w:rPr>
  </w:style>
  <w:style w:type="paragraph" w:styleId="ListParagraph">
    <w:name w:val="List Paragraph"/>
    <w:basedOn w:val="Normal"/>
    <w:uiPriority w:val="34"/>
    <w:qFormat/>
    <w:rsid w:val="005D625E"/>
    <w:pPr>
      <w:ind w:left="720"/>
      <w:contextualSpacing/>
    </w:pPr>
  </w:style>
  <w:style w:type="character" w:customStyle="1" w:styleId="UnresolvedMention1">
    <w:name w:val="Unresolved Mention1"/>
    <w:basedOn w:val="DefaultParagraphFont"/>
    <w:uiPriority w:val="99"/>
    <w:rsid w:val="005D625E"/>
    <w:rPr>
      <w:color w:val="605E5C"/>
      <w:shd w:val="clear" w:color="auto" w:fill="E1DFDD"/>
    </w:rPr>
  </w:style>
  <w:style w:type="character" w:styleId="FollowedHyperlink">
    <w:name w:val="FollowedHyperlink"/>
    <w:basedOn w:val="DefaultParagraphFont"/>
    <w:uiPriority w:val="99"/>
    <w:semiHidden/>
    <w:unhideWhenUsed/>
    <w:rsid w:val="00886058"/>
    <w:rPr>
      <w:color w:val="954F72" w:themeColor="followedHyperlink"/>
      <w:u w:val="single"/>
    </w:rPr>
  </w:style>
  <w:style w:type="paragraph" w:styleId="NormalWeb">
    <w:name w:val="Normal (Web)"/>
    <w:basedOn w:val="Normal"/>
    <w:uiPriority w:val="99"/>
    <w:semiHidden/>
    <w:unhideWhenUsed/>
    <w:rsid w:val="00D24965"/>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D24965"/>
    <w:rPr>
      <w:b/>
      <w:bCs/>
    </w:rPr>
  </w:style>
  <w:style w:type="paragraph" w:styleId="BalloonText">
    <w:name w:val="Balloon Text"/>
    <w:basedOn w:val="Normal"/>
    <w:link w:val="BalloonTextChar"/>
    <w:uiPriority w:val="99"/>
    <w:semiHidden/>
    <w:unhideWhenUsed/>
    <w:rsid w:val="005615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15CB"/>
    <w:rPr>
      <w:rFonts w:ascii="Times New Roman" w:hAnsi="Times New Roman" w:cs="Times New Roman"/>
      <w:sz w:val="18"/>
      <w:szCs w:val="18"/>
    </w:rPr>
  </w:style>
  <w:style w:type="paragraph" w:customStyle="1" w:styleId="xmsonormal">
    <w:name w:val="x_msonormal"/>
    <w:basedOn w:val="Normal"/>
    <w:rsid w:val="004B6F0D"/>
    <w:pPr>
      <w:spacing w:before="100" w:beforeAutospacing="1" w:after="100" w:afterAutospacing="1"/>
    </w:pPr>
    <w:rPr>
      <w:rFonts w:ascii="Times New Roman" w:eastAsia="Times New Roman" w:hAnsi="Times New Roman" w:cs="Times New Roman"/>
      <w:lang w:val="en-CA" w:eastAsia="en-CA"/>
    </w:rPr>
  </w:style>
  <w:style w:type="character" w:styleId="Emphasis">
    <w:name w:val="Emphasis"/>
    <w:basedOn w:val="DefaultParagraphFont"/>
    <w:uiPriority w:val="20"/>
    <w:qFormat/>
    <w:rsid w:val="0043163E"/>
    <w:rPr>
      <w:i/>
      <w:iCs/>
    </w:rPr>
  </w:style>
  <w:style w:type="table" w:styleId="TableGrid">
    <w:name w:val="Table Grid"/>
    <w:basedOn w:val="TableNormal"/>
    <w:uiPriority w:val="39"/>
    <w:rsid w:val="00C97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70B7"/>
    <w:rPr>
      <w:color w:val="605E5C"/>
      <w:shd w:val="clear" w:color="auto" w:fill="E1DFDD"/>
    </w:rPr>
  </w:style>
  <w:style w:type="character" w:customStyle="1" w:styleId="s1">
    <w:name w:val="s1"/>
    <w:basedOn w:val="DefaultParagraphFont"/>
    <w:rsid w:val="00C95A06"/>
  </w:style>
  <w:style w:type="paragraph" w:styleId="Revision">
    <w:name w:val="Revision"/>
    <w:hidden/>
    <w:uiPriority w:val="99"/>
    <w:semiHidden/>
    <w:rsid w:val="00F61C78"/>
  </w:style>
  <w:style w:type="character" w:styleId="CommentReference">
    <w:name w:val="annotation reference"/>
    <w:basedOn w:val="DefaultParagraphFont"/>
    <w:uiPriority w:val="99"/>
    <w:semiHidden/>
    <w:unhideWhenUsed/>
    <w:rsid w:val="009E4B73"/>
    <w:rPr>
      <w:sz w:val="16"/>
      <w:szCs w:val="16"/>
    </w:rPr>
  </w:style>
  <w:style w:type="paragraph" w:styleId="CommentText">
    <w:name w:val="annotation text"/>
    <w:basedOn w:val="Normal"/>
    <w:link w:val="CommentTextChar"/>
    <w:uiPriority w:val="99"/>
    <w:semiHidden/>
    <w:unhideWhenUsed/>
    <w:rsid w:val="009E4B73"/>
    <w:rPr>
      <w:sz w:val="20"/>
      <w:szCs w:val="20"/>
    </w:rPr>
  </w:style>
  <w:style w:type="character" w:customStyle="1" w:styleId="CommentTextChar">
    <w:name w:val="Comment Text Char"/>
    <w:basedOn w:val="DefaultParagraphFont"/>
    <w:link w:val="CommentText"/>
    <w:uiPriority w:val="99"/>
    <w:semiHidden/>
    <w:rsid w:val="009E4B73"/>
    <w:rPr>
      <w:sz w:val="20"/>
      <w:szCs w:val="20"/>
    </w:rPr>
  </w:style>
  <w:style w:type="paragraph" w:styleId="CommentSubject">
    <w:name w:val="annotation subject"/>
    <w:basedOn w:val="CommentText"/>
    <w:next w:val="CommentText"/>
    <w:link w:val="CommentSubjectChar"/>
    <w:uiPriority w:val="99"/>
    <w:semiHidden/>
    <w:unhideWhenUsed/>
    <w:rsid w:val="009E4B73"/>
    <w:rPr>
      <w:b/>
      <w:bCs/>
    </w:rPr>
  </w:style>
  <w:style w:type="character" w:customStyle="1" w:styleId="CommentSubjectChar">
    <w:name w:val="Comment Subject Char"/>
    <w:basedOn w:val="CommentTextChar"/>
    <w:link w:val="CommentSubject"/>
    <w:uiPriority w:val="99"/>
    <w:semiHidden/>
    <w:rsid w:val="009E4B73"/>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72022">
      <w:bodyDiv w:val="1"/>
      <w:marLeft w:val="0"/>
      <w:marRight w:val="0"/>
      <w:marTop w:val="0"/>
      <w:marBottom w:val="0"/>
      <w:divBdr>
        <w:top w:val="none" w:sz="0" w:space="0" w:color="auto"/>
        <w:left w:val="none" w:sz="0" w:space="0" w:color="auto"/>
        <w:bottom w:val="none" w:sz="0" w:space="0" w:color="auto"/>
        <w:right w:val="none" w:sz="0" w:space="0" w:color="auto"/>
      </w:divBdr>
    </w:div>
    <w:div w:id="490365865">
      <w:bodyDiv w:val="1"/>
      <w:marLeft w:val="0"/>
      <w:marRight w:val="0"/>
      <w:marTop w:val="0"/>
      <w:marBottom w:val="0"/>
      <w:divBdr>
        <w:top w:val="none" w:sz="0" w:space="0" w:color="auto"/>
        <w:left w:val="none" w:sz="0" w:space="0" w:color="auto"/>
        <w:bottom w:val="none" w:sz="0" w:space="0" w:color="auto"/>
        <w:right w:val="none" w:sz="0" w:space="0" w:color="auto"/>
      </w:divBdr>
    </w:div>
    <w:div w:id="604727820">
      <w:bodyDiv w:val="1"/>
      <w:marLeft w:val="0"/>
      <w:marRight w:val="0"/>
      <w:marTop w:val="0"/>
      <w:marBottom w:val="0"/>
      <w:divBdr>
        <w:top w:val="none" w:sz="0" w:space="0" w:color="auto"/>
        <w:left w:val="none" w:sz="0" w:space="0" w:color="auto"/>
        <w:bottom w:val="none" w:sz="0" w:space="0" w:color="auto"/>
        <w:right w:val="none" w:sz="0" w:space="0" w:color="auto"/>
      </w:divBdr>
      <w:divsChild>
        <w:div w:id="981352063">
          <w:marLeft w:val="0"/>
          <w:marRight w:val="0"/>
          <w:marTop w:val="0"/>
          <w:marBottom w:val="0"/>
          <w:divBdr>
            <w:top w:val="none" w:sz="0" w:space="0" w:color="auto"/>
            <w:left w:val="none" w:sz="0" w:space="0" w:color="auto"/>
            <w:bottom w:val="none" w:sz="0" w:space="0" w:color="auto"/>
            <w:right w:val="none" w:sz="0" w:space="0" w:color="auto"/>
          </w:divBdr>
          <w:divsChild>
            <w:div w:id="288558339">
              <w:marLeft w:val="0"/>
              <w:marRight w:val="0"/>
              <w:marTop w:val="0"/>
              <w:marBottom w:val="0"/>
              <w:divBdr>
                <w:top w:val="none" w:sz="0" w:space="0" w:color="auto"/>
                <w:left w:val="none" w:sz="0" w:space="0" w:color="auto"/>
                <w:bottom w:val="none" w:sz="0" w:space="0" w:color="auto"/>
                <w:right w:val="none" w:sz="0" w:space="0" w:color="auto"/>
              </w:divBdr>
              <w:divsChild>
                <w:div w:id="6712194">
                  <w:marLeft w:val="0"/>
                  <w:marRight w:val="0"/>
                  <w:marTop w:val="0"/>
                  <w:marBottom w:val="0"/>
                  <w:divBdr>
                    <w:top w:val="none" w:sz="0" w:space="0" w:color="auto"/>
                    <w:left w:val="none" w:sz="0" w:space="0" w:color="auto"/>
                    <w:bottom w:val="none" w:sz="0" w:space="0" w:color="auto"/>
                    <w:right w:val="none" w:sz="0" w:space="0" w:color="auto"/>
                  </w:divBdr>
                </w:div>
                <w:div w:id="1488939813">
                  <w:marLeft w:val="0"/>
                  <w:marRight w:val="0"/>
                  <w:marTop w:val="0"/>
                  <w:marBottom w:val="0"/>
                  <w:divBdr>
                    <w:top w:val="none" w:sz="0" w:space="0" w:color="auto"/>
                    <w:left w:val="none" w:sz="0" w:space="0" w:color="auto"/>
                    <w:bottom w:val="none" w:sz="0" w:space="0" w:color="auto"/>
                    <w:right w:val="none" w:sz="0" w:space="0" w:color="auto"/>
                  </w:divBdr>
                </w:div>
              </w:divsChild>
            </w:div>
            <w:div w:id="1959413994">
              <w:marLeft w:val="0"/>
              <w:marRight w:val="0"/>
              <w:marTop w:val="0"/>
              <w:marBottom w:val="0"/>
              <w:divBdr>
                <w:top w:val="none" w:sz="0" w:space="0" w:color="auto"/>
                <w:left w:val="none" w:sz="0" w:space="0" w:color="auto"/>
                <w:bottom w:val="none" w:sz="0" w:space="0" w:color="auto"/>
                <w:right w:val="none" w:sz="0" w:space="0" w:color="auto"/>
              </w:divBdr>
              <w:divsChild>
                <w:div w:id="8632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49339">
      <w:bodyDiv w:val="1"/>
      <w:marLeft w:val="0"/>
      <w:marRight w:val="0"/>
      <w:marTop w:val="0"/>
      <w:marBottom w:val="0"/>
      <w:divBdr>
        <w:top w:val="none" w:sz="0" w:space="0" w:color="auto"/>
        <w:left w:val="none" w:sz="0" w:space="0" w:color="auto"/>
        <w:bottom w:val="none" w:sz="0" w:space="0" w:color="auto"/>
        <w:right w:val="none" w:sz="0" w:space="0" w:color="auto"/>
      </w:divBdr>
    </w:div>
    <w:div w:id="683555668">
      <w:bodyDiv w:val="1"/>
      <w:marLeft w:val="0"/>
      <w:marRight w:val="0"/>
      <w:marTop w:val="0"/>
      <w:marBottom w:val="0"/>
      <w:divBdr>
        <w:top w:val="none" w:sz="0" w:space="0" w:color="auto"/>
        <w:left w:val="none" w:sz="0" w:space="0" w:color="auto"/>
        <w:bottom w:val="none" w:sz="0" w:space="0" w:color="auto"/>
        <w:right w:val="none" w:sz="0" w:space="0" w:color="auto"/>
      </w:divBdr>
    </w:div>
    <w:div w:id="887301502">
      <w:bodyDiv w:val="1"/>
      <w:marLeft w:val="0"/>
      <w:marRight w:val="0"/>
      <w:marTop w:val="0"/>
      <w:marBottom w:val="0"/>
      <w:divBdr>
        <w:top w:val="none" w:sz="0" w:space="0" w:color="auto"/>
        <w:left w:val="none" w:sz="0" w:space="0" w:color="auto"/>
        <w:bottom w:val="none" w:sz="0" w:space="0" w:color="auto"/>
        <w:right w:val="none" w:sz="0" w:space="0" w:color="auto"/>
      </w:divBdr>
    </w:div>
    <w:div w:id="1118647786">
      <w:bodyDiv w:val="1"/>
      <w:marLeft w:val="0"/>
      <w:marRight w:val="0"/>
      <w:marTop w:val="0"/>
      <w:marBottom w:val="0"/>
      <w:divBdr>
        <w:top w:val="none" w:sz="0" w:space="0" w:color="auto"/>
        <w:left w:val="none" w:sz="0" w:space="0" w:color="auto"/>
        <w:bottom w:val="none" w:sz="0" w:space="0" w:color="auto"/>
        <w:right w:val="none" w:sz="0" w:space="0" w:color="auto"/>
      </w:divBdr>
    </w:div>
    <w:div w:id="1489512177">
      <w:bodyDiv w:val="1"/>
      <w:marLeft w:val="0"/>
      <w:marRight w:val="0"/>
      <w:marTop w:val="0"/>
      <w:marBottom w:val="0"/>
      <w:divBdr>
        <w:top w:val="none" w:sz="0" w:space="0" w:color="auto"/>
        <w:left w:val="none" w:sz="0" w:space="0" w:color="auto"/>
        <w:bottom w:val="none" w:sz="0" w:space="0" w:color="auto"/>
        <w:right w:val="none" w:sz="0" w:space="0" w:color="auto"/>
      </w:divBdr>
    </w:div>
    <w:div w:id="1556506607">
      <w:bodyDiv w:val="1"/>
      <w:marLeft w:val="0"/>
      <w:marRight w:val="0"/>
      <w:marTop w:val="0"/>
      <w:marBottom w:val="0"/>
      <w:divBdr>
        <w:top w:val="none" w:sz="0" w:space="0" w:color="auto"/>
        <w:left w:val="none" w:sz="0" w:space="0" w:color="auto"/>
        <w:bottom w:val="none" w:sz="0" w:space="0" w:color="auto"/>
        <w:right w:val="none" w:sz="0" w:space="0" w:color="auto"/>
      </w:divBdr>
    </w:div>
    <w:div w:id="1603684182">
      <w:bodyDiv w:val="1"/>
      <w:marLeft w:val="0"/>
      <w:marRight w:val="0"/>
      <w:marTop w:val="0"/>
      <w:marBottom w:val="0"/>
      <w:divBdr>
        <w:top w:val="none" w:sz="0" w:space="0" w:color="auto"/>
        <w:left w:val="none" w:sz="0" w:space="0" w:color="auto"/>
        <w:bottom w:val="none" w:sz="0" w:space="0" w:color="auto"/>
        <w:right w:val="none" w:sz="0" w:space="0" w:color="auto"/>
      </w:divBdr>
    </w:div>
    <w:div w:id="1604679652">
      <w:bodyDiv w:val="1"/>
      <w:marLeft w:val="0"/>
      <w:marRight w:val="0"/>
      <w:marTop w:val="0"/>
      <w:marBottom w:val="0"/>
      <w:divBdr>
        <w:top w:val="none" w:sz="0" w:space="0" w:color="auto"/>
        <w:left w:val="none" w:sz="0" w:space="0" w:color="auto"/>
        <w:bottom w:val="none" w:sz="0" w:space="0" w:color="auto"/>
        <w:right w:val="none" w:sz="0" w:space="0" w:color="auto"/>
      </w:divBdr>
    </w:div>
    <w:div w:id="1645355813">
      <w:bodyDiv w:val="1"/>
      <w:marLeft w:val="0"/>
      <w:marRight w:val="0"/>
      <w:marTop w:val="0"/>
      <w:marBottom w:val="0"/>
      <w:divBdr>
        <w:top w:val="none" w:sz="0" w:space="0" w:color="auto"/>
        <w:left w:val="none" w:sz="0" w:space="0" w:color="auto"/>
        <w:bottom w:val="none" w:sz="0" w:space="0" w:color="auto"/>
        <w:right w:val="none" w:sz="0" w:space="0" w:color="auto"/>
      </w:divBdr>
    </w:div>
    <w:div w:id="1837918553">
      <w:bodyDiv w:val="1"/>
      <w:marLeft w:val="0"/>
      <w:marRight w:val="0"/>
      <w:marTop w:val="0"/>
      <w:marBottom w:val="0"/>
      <w:divBdr>
        <w:top w:val="none" w:sz="0" w:space="0" w:color="auto"/>
        <w:left w:val="none" w:sz="0" w:space="0" w:color="auto"/>
        <w:bottom w:val="none" w:sz="0" w:space="0" w:color="auto"/>
        <w:right w:val="none" w:sz="0" w:space="0" w:color="auto"/>
      </w:divBdr>
    </w:div>
    <w:div w:id="1852329392">
      <w:bodyDiv w:val="1"/>
      <w:marLeft w:val="0"/>
      <w:marRight w:val="0"/>
      <w:marTop w:val="0"/>
      <w:marBottom w:val="0"/>
      <w:divBdr>
        <w:top w:val="none" w:sz="0" w:space="0" w:color="auto"/>
        <w:left w:val="none" w:sz="0" w:space="0" w:color="auto"/>
        <w:bottom w:val="none" w:sz="0" w:space="0" w:color="auto"/>
        <w:right w:val="none" w:sz="0" w:space="0" w:color="auto"/>
      </w:divBdr>
    </w:div>
    <w:div w:id="188672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eprovostundergrad.utoronto.ca/strategic-priorities/digital-learning/special-initiative-artificial-intelligence/" TargetMode="External"/><Relationship Id="rId18" Type="http://schemas.openxmlformats.org/officeDocument/2006/relationships/hyperlink" Target="http://guides.library.utoronto.ca/citing" TargetMode="External"/><Relationship Id="rId26" Type="http://schemas.openxmlformats.org/officeDocument/2006/relationships/hyperlink" Target="https://www.sgs.utoronto.ca/resources-supports/graduate-wellness-services-at-sgs/" TargetMode="External"/><Relationship Id="rId39" Type="http://schemas.openxmlformats.org/officeDocument/2006/relationships/fontTable" Target="fontTable.xml"/><Relationship Id="rId21" Type="http://schemas.openxmlformats.org/officeDocument/2006/relationships/hyperlink" Target="https://governingcouncil.utoronto.ca/secretariat/policies/code-behaviour-academic-matters-july-1-2019" TargetMode="External"/><Relationship Id="rId34" Type="http://schemas.openxmlformats.org/officeDocument/2006/relationships/hyperlink" Target="http://www.hswriting.ca/" TargetMode="External"/><Relationship Id="rId7" Type="http://schemas.openxmlformats.org/officeDocument/2006/relationships/settings" Target="settings.xml"/><Relationship Id="rId12" Type="http://schemas.openxmlformats.org/officeDocument/2006/relationships/hyperlink" Target="https://www.viceprovostundergrad.utoronto.ca/wp-content/uploads/sites/275/2023/04/Syllabus-Language-for-Gen-AI-April-2023.pdf" TargetMode="External"/><Relationship Id="rId17" Type="http://schemas.openxmlformats.org/officeDocument/2006/relationships/hyperlink" Target="https://www.academicintegrity.utoronto.ca/" TargetMode="External"/><Relationship Id="rId25" Type="http://schemas.openxmlformats.org/officeDocument/2006/relationships/hyperlink" Target="https://mentalhealth.utoronto.ca/" TargetMode="External"/><Relationship Id="rId33" Type="http://schemas.openxmlformats.org/officeDocument/2006/relationships/hyperlink" Target="https://utgsu.ca/"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overningcouncil.utoronto.ca/secretariat/policies/code-behaviour-academic-matters-july-1-2019" TargetMode="External"/><Relationship Id="rId20" Type="http://schemas.openxmlformats.org/officeDocument/2006/relationships/hyperlink" Target="https://teaching.utoronto.ca/teaching-support/strategies/a-i/appendix-2/" TargetMode="External"/><Relationship Id="rId29" Type="http://schemas.openxmlformats.org/officeDocument/2006/relationships/hyperlink" Target="https://governingcouncil.utoronto.ca/ombudspers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ching.utoronto.ca/resources/developing-a-course-syllabus/" TargetMode="External"/><Relationship Id="rId24" Type="http://schemas.openxmlformats.org/officeDocument/2006/relationships/hyperlink" Target="https://teaching.utoronto.ca/resources/developing-a-course-syllabus/" TargetMode="External"/><Relationship Id="rId32" Type="http://schemas.openxmlformats.org/officeDocument/2006/relationships/hyperlink" Target="http://www.dlsph.utoronto.ca/students/current-student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overningcouncil.utoronto.ca/secretariat/policies/grading-practices-policy-university-assessment-and-january-1-2020" TargetMode="External"/><Relationship Id="rId23" Type="http://schemas.openxmlformats.org/officeDocument/2006/relationships/hyperlink" Target="http://studentlife.utoronto.ca/as" TargetMode="External"/><Relationship Id="rId28" Type="http://schemas.openxmlformats.org/officeDocument/2006/relationships/hyperlink" Target="mailto:thesvpcentre@utoronto.ca" TargetMode="External"/><Relationship Id="rId36" Type="http://schemas.openxmlformats.org/officeDocument/2006/relationships/hyperlink" Target="http://www.careers.utoronto.ca/" TargetMode="External"/><Relationship Id="rId10" Type="http://schemas.openxmlformats.org/officeDocument/2006/relationships/endnotes" Target="endnotes.xml"/><Relationship Id="rId19" Type="http://schemas.openxmlformats.org/officeDocument/2006/relationships/hyperlink" Target="https://www.utm.utoronto.ca/academic-integrity/students/scenarios" TargetMode="External"/><Relationship Id="rId31" Type="http://schemas.openxmlformats.org/officeDocument/2006/relationships/hyperlink" Target="https://www.dlsph.utoronto.ca/gdphs-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ching.utoronto.ca/resources/dlo/" TargetMode="External"/><Relationship Id="rId22" Type="http://schemas.openxmlformats.org/officeDocument/2006/relationships/hyperlink" Target="https://uoft.me/pdt-faq" TargetMode="External"/><Relationship Id="rId27" Type="http://schemas.openxmlformats.org/officeDocument/2006/relationships/hyperlink" Target="https://studentlife.utoronto.ca/department/health-wellness/" TargetMode="External"/><Relationship Id="rId30" Type="http://schemas.openxmlformats.org/officeDocument/2006/relationships/hyperlink" Target="https://www.dlsph.utoronto.ca/administration/graduate-affairs/" TargetMode="External"/><Relationship Id="rId35" Type="http://schemas.openxmlformats.org/officeDocument/2006/relationships/hyperlink" Target="http://www.asc.utoronto.c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E9792EDA0F714C941FAC26A28A3278" ma:contentTypeVersion="4" ma:contentTypeDescription="Create a new document." ma:contentTypeScope="" ma:versionID="0d7c2f436ae3b9e8ab2fdd9f26ef4bdb">
  <xsd:schema xmlns:xsd="http://www.w3.org/2001/XMLSchema" xmlns:xs="http://www.w3.org/2001/XMLSchema" xmlns:p="http://schemas.microsoft.com/office/2006/metadata/properties" xmlns:ns2="18348322-1804-480d-9560-2ee96dcc59a7" targetNamespace="http://schemas.microsoft.com/office/2006/metadata/properties" ma:root="true" ma:fieldsID="116bac7694be818ca62a14723c34ffd5" ns2:_="">
    <xsd:import namespace="18348322-1804-480d-9560-2ee96dcc59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48322-1804-480d-9560-2ee96dcc5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9B12F-DDF8-48C9-B391-03804DE82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87B267-03F9-48AF-9E72-E80E9ECA6A5B}">
  <ds:schemaRefs>
    <ds:schemaRef ds:uri="http://schemas.openxmlformats.org/officeDocument/2006/bibliography"/>
  </ds:schemaRefs>
</ds:datastoreItem>
</file>

<file path=customXml/itemProps3.xml><?xml version="1.0" encoding="utf-8"?>
<ds:datastoreItem xmlns:ds="http://schemas.openxmlformats.org/officeDocument/2006/customXml" ds:itemID="{73CED984-DA06-4320-81B4-49EE42C4A72F}">
  <ds:schemaRefs>
    <ds:schemaRef ds:uri="http://schemas.microsoft.com/sharepoint/v3/contenttype/forms"/>
  </ds:schemaRefs>
</ds:datastoreItem>
</file>

<file path=customXml/itemProps4.xml><?xml version="1.0" encoding="utf-8"?>
<ds:datastoreItem xmlns:ds="http://schemas.openxmlformats.org/officeDocument/2006/customXml" ds:itemID="{27F67EDB-C887-49F2-A0B5-BCD58E97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48322-1804-480d-9560-2ee96dcc5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1478</Words>
  <Characters>16520</Characters>
  <Application>Microsoft Office Word</Application>
  <DocSecurity>0</DocSecurity>
  <Lines>590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Ellen Sokoloff</cp:lastModifiedBy>
  <cp:revision>2</cp:revision>
  <dcterms:created xsi:type="dcterms:W3CDTF">2023-07-19T00:09:00Z</dcterms:created>
  <dcterms:modified xsi:type="dcterms:W3CDTF">2023-07-19T00:09:00Z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0x01010028E9792EDA0F714C941FAC26A28A3278</vt:lpwstr>
  </property>
</Properties>
</file>